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DEC7" w14:textId="777C2C73" w:rsidR="00FB5BF8" w:rsidRDefault="00FB5BF8" w:rsidP="00FB5BF8">
      <w:pPr>
        <w:pStyle w:val="Ttulo3"/>
      </w:pPr>
      <w:r>
        <w:rPr>
          <w:rStyle w:val="selected"/>
        </w:rPr>
        <w:t>PROPOSTA DE EMENDA</w:t>
      </w:r>
      <w:r w:rsidR="00790E89">
        <w:rPr>
          <w:rStyle w:val="selected"/>
        </w:rPr>
        <w:t xml:space="preserve"> </w:t>
      </w:r>
      <w:r w:rsidR="00216A81">
        <w:rPr>
          <w:rStyle w:val="selected"/>
        </w:rPr>
        <w:t xml:space="preserve"> ADITIVA </w:t>
      </w:r>
      <w:r>
        <w:rPr>
          <w:rStyle w:val="selected"/>
        </w:rPr>
        <w:t xml:space="preserve">À LEI ORGÂNICA Nº </w:t>
      </w:r>
      <w:r w:rsidR="002F2DFB">
        <w:rPr>
          <w:rStyle w:val="selected"/>
        </w:rPr>
        <w:t>023</w:t>
      </w:r>
      <w:r>
        <w:rPr>
          <w:rStyle w:val="selected"/>
        </w:rPr>
        <w:t>/2025</w:t>
      </w:r>
    </w:p>
    <w:p w14:paraId="5E0D404C" w14:textId="00A0F4B8" w:rsidR="00FB5BF8" w:rsidRPr="00FB5BF8" w:rsidRDefault="00FB5BF8" w:rsidP="00FB5BF8">
      <w:pPr>
        <w:pStyle w:val="NormalWeb"/>
        <w:ind w:left="3544"/>
        <w:jc w:val="both"/>
        <w:rPr>
          <w:rStyle w:val="selected"/>
          <w:bCs/>
          <w:i/>
          <w:sz w:val="22"/>
        </w:rPr>
      </w:pPr>
      <w:r w:rsidRPr="00FB5BF8">
        <w:rPr>
          <w:rStyle w:val="selected"/>
          <w:b/>
          <w:bCs/>
          <w:i/>
          <w:sz w:val="22"/>
        </w:rPr>
        <w:t xml:space="preserve">EMENTA: </w:t>
      </w:r>
      <w:r w:rsidRPr="00FB5BF8">
        <w:rPr>
          <w:rStyle w:val="selected"/>
          <w:bCs/>
          <w:i/>
          <w:sz w:val="22"/>
        </w:rPr>
        <w:t xml:space="preserve">Acrescenta os §§ 4º, 5º, 6º, 7º, 8º </w:t>
      </w:r>
      <w:r w:rsidR="004D7B9E">
        <w:rPr>
          <w:rStyle w:val="selected"/>
          <w:bCs/>
          <w:i/>
          <w:sz w:val="22"/>
        </w:rPr>
        <w:t>e 9º ao artigo 28 e o artigo 109-A</w:t>
      </w:r>
      <w:r w:rsidRPr="00FB5BF8">
        <w:rPr>
          <w:rStyle w:val="selected"/>
          <w:bCs/>
          <w:i/>
          <w:sz w:val="22"/>
        </w:rPr>
        <w:t xml:space="preserve"> às Disposições Finais da Lei Orgânica do Município de Chupinguaia.</w:t>
      </w:r>
    </w:p>
    <w:p w14:paraId="20958F35" w14:textId="7B0307E9" w:rsidR="00FB5BF8" w:rsidRDefault="00FB5BF8" w:rsidP="00FB5BF8">
      <w:pPr>
        <w:pStyle w:val="NormalWeb"/>
        <w:rPr>
          <w:rStyle w:val="selected"/>
        </w:rPr>
      </w:pPr>
    </w:p>
    <w:p w14:paraId="3E537D91" w14:textId="77777777" w:rsidR="006922CE" w:rsidRDefault="006922CE" w:rsidP="00FB5BF8">
      <w:pPr>
        <w:pStyle w:val="NormalWeb"/>
        <w:rPr>
          <w:rStyle w:val="selected"/>
        </w:rPr>
      </w:pPr>
    </w:p>
    <w:p w14:paraId="6FD4B197" w14:textId="77777777" w:rsidR="00FB5BF8" w:rsidRDefault="00FB5BF8" w:rsidP="003A0063">
      <w:pPr>
        <w:pStyle w:val="NormalWeb"/>
        <w:jc w:val="both"/>
      </w:pPr>
      <w:r>
        <w:rPr>
          <w:rStyle w:val="selected"/>
          <w:b/>
          <w:bCs/>
        </w:rPr>
        <w:t>Art. 1º.</w:t>
      </w:r>
      <w:r>
        <w:rPr>
          <w:rStyle w:val="selected"/>
        </w:rPr>
        <w:t xml:space="preserve"> O artigo 28 da Lei Orgânica do Município de Chupinguaia passa a vigorar acrescido dos seguintes parágrafos:</w:t>
      </w:r>
    </w:p>
    <w:p w14:paraId="20F7D0C9" w14:textId="51A2FFE0" w:rsidR="00FB5BF8" w:rsidRDefault="00FB5BF8" w:rsidP="006E034E">
      <w:pPr>
        <w:pStyle w:val="NormalWeb"/>
        <w:ind w:left="1134"/>
        <w:jc w:val="both"/>
      </w:pPr>
      <w:r>
        <w:rPr>
          <w:rStyle w:val="selected"/>
        </w:rPr>
        <w:t>"Art. 28. ......</w:t>
      </w:r>
    </w:p>
    <w:p w14:paraId="5E11827D" w14:textId="05FCBEF6" w:rsidR="00FB5BF8" w:rsidRDefault="00FB5BF8" w:rsidP="0032505D">
      <w:pPr>
        <w:pStyle w:val="NormalWeb"/>
        <w:ind w:left="1134"/>
        <w:jc w:val="both"/>
      </w:pPr>
      <w:r>
        <w:rPr>
          <w:rStyle w:val="selected"/>
          <w:b/>
          <w:bCs/>
        </w:rPr>
        <w:t>§ 4º</w:t>
      </w:r>
      <w:r>
        <w:rPr>
          <w:rStyle w:val="selected"/>
        </w:rPr>
        <w:t xml:space="preserve"> Ao saldo financeiro decorrente dos repasses duodecima</w:t>
      </w:r>
      <w:r w:rsidR="0032505D">
        <w:rPr>
          <w:rStyle w:val="selected"/>
        </w:rPr>
        <w:t>is não utilizados ao final de</w:t>
      </w:r>
      <w:r>
        <w:rPr>
          <w:rStyle w:val="selected"/>
        </w:rPr>
        <w:t xml:space="preserve"> </w:t>
      </w:r>
      <w:r w:rsidR="0032505D">
        <w:rPr>
          <w:rStyle w:val="selected"/>
        </w:rPr>
        <w:t xml:space="preserve">cada </w:t>
      </w:r>
      <w:r>
        <w:rPr>
          <w:rStyle w:val="selected"/>
        </w:rPr>
        <w:t xml:space="preserve">exercício, </w:t>
      </w:r>
      <w:r w:rsidR="009A39D6">
        <w:rPr>
          <w:rStyle w:val="selected"/>
        </w:rPr>
        <w:t>aplica-se o dever de restituição ao caixa único do Tesouro Municipal.</w:t>
      </w:r>
    </w:p>
    <w:p w14:paraId="60C7DC96" w14:textId="77777777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5º</w:t>
      </w:r>
      <w:r>
        <w:rPr>
          <w:rStyle w:val="selected"/>
        </w:rPr>
        <w:t xml:space="preserve"> Para os fins deste artigo, consideram-se receitas próprias, inclusive as provenientes de aplicações financeiras de recursos orçamentários ou extraorçamentários, aquelas arrecadadas diretamente pela Câmara Municipal, estejam ou não previstas na Lei Orçamentária Anual, compreendendo, entre outras:</w:t>
      </w:r>
    </w:p>
    <w:p w14:paraId="31F811EE" w14:textId="32E5BF32" w:rsidR="00FB5BF8" w:rsidRDefault="00FB5BF8" w:rsidP="00FB5BF8">
      <w:pPr>
        <w:pStyle w:val="NormalWeb"/>
        <w:spacing w:before="0" w:beforeAutospacing="0" w:after="0" w:afterAutospacing="0"/>
        <w:ind w:left="1134"/>
        <w:jc w:val="both"/>
        <w:rPr>
          <w:rStyle w:val="selected"/>
        </w:rPr>
      </w:pPr>
      <w:r>
        <w:rPr>
          <w:rStyle w:val="selected"/>
        </w:rPr>
        <w:t xml:space="preserve">I - </w:t>
      </w:r>
      <w:r w:rsidR="00007B5F">
        <w:rPr>
          <w:rStyle w:val="selected"/>
        </w:rPr>
        <w:t>Rendimentos</w:t>
      </w:r>
      <w:r>
        <w:rPr>
          <w:rStyle w:val="selected"/>
        </w:rPr>
        <w:t xml:space="preserve"> de aplicações financeiras de suas disponibilidades de caixa; II - </w:t>
      </w:r>
      <w:r w:rsidR="00007B5F">
        <w:rPr>
          <w:rStyle w:val="selected"/>
        </w:rPr>
        <w:t>R</w:t>
      </w:r>
      <w:r>
        <w:rPr>
          <w:rStyle w:val="selected"/>
        </w:rPr>
        <w:t>eceitas de alienação de bens de seu patrimônio;</w:t>
      </w:r>
    </w:p>
    <w:p w14:paraId="3AC8B501" w14:textId="48FAC3BE" w:rsidR="00FB5BF8" w:rsidRDefault="00FB5BF8" w:rsidP="00FB5BF8">
      <w:pPr>
        <w:pStyle w:val="NormalWeb"/>
        <w:spacing w:before="0" w:beforeAutospacing="0" w:after="0" w:afterAutospacing="0"/>
        <w:ind w:left="1134"/>
        <w:jc w:val="both"/>
        <w:rPr>
          <w:rStyle w:val="selected"/>
        </w:rPr>
      </w:pPr>
      <w:r>
        <w:rPr>
          <w:rStyle w:val="selected"/>
        </w:rPr>
        <w:t xml:space="preserve">III - </w:t>
      </w:r>
      <w:r w:rsidR="00007B5F">
        <w:rPr>
          <w:rStyle w:val="selected"/>
        </w:rPr>
        <w:t>I</w:t>
      </w:r>
      <w:r>
        <w:rPr>
          <w:rStyle w:val="selected"/>
        </w:rPr>
        <w:t xml:space="preserve">ndenizações, restituições e ressarcimentos recebidos; </w:t>
      </w:r>
    </w:p>
    <w:p w14:paraId="3C10648E" w14:textId="7D949685" w:rsidR="00FB5BF8" w:rsidRDefault="00FB5BF8" w:rsidP="00FB5BF8">
      <w:pPr>
        <w:pStyle w:val="NormalWeb"/>
        <w:spacing w:before="0" w:beforeAutospacing="0" w:after="0" w:afterAutospacing="0"/>
        <w:ind w:left="1134"/>
        <w:jc w:val="both"/>
        <w:rPr>
          <w:rStyle w:val="selected"/>
        </w:rPr>
      </w:pPr>
      <w:r>
        <w:rPr>
          <w:rStyle w:val="selected"/>
        </w:rPr>
        <w:t>IV</w:t>
      </w:r>
      <w:r w:rsidR="00007B5F">
        <w:rPr>
          <w:rStyle w:val="selected"/>
        </w:rPr>
        <w:t xml:space="preserve"> </w:t>
      </w:r>
      <w:r>
        <w:rPr>
          <w:rStyle w:val="selected"/>
        </w:rPr>
        <w:t>-</w:t>
      </w:r>
      <w:r w:rsidR="00007B5F">
        <w:rPr>
          <w:rStyle w:val="selected"/>
        </w:rPr>
        <w:t>T</w:t>
      </w:r>
      <w:r>
        <w:rPr>
          <w:rStyle w:val="selected"/>
        </w:rPr>
        <w:t xml:space="preserve">axas e outros ingressos decorrentes de sua atuação institucional específica; e </w:t>
      </w:r>
    </w:p>
    <w:p w14:paraId="6E6644E6" w14:textId="3F9EE521" w:rsidR="00FB5BF8" w:rsidRDefault="00FB5BF8" w:rsidP="00FB5BF8">
      <w:pPr>
        <w:pStyle w:val="NormalWeb"/>
        <w:spacing w:before="0" w:beforeAutospacing="0" w:after="0" w:afterAutospacing="0"/>
        <w:ind w:left="1134"/>
        <w:jc w:val="both"/>
      </w:pPr>
      <w:r>
        <w:rPr>
          <w:rStyle w:val="selected"/>
        </w:rPr>
        <w:t>V -</w:t>
      </w:r>
      <w:r w:rsidR="00007B5F">
        <w:rPr>
          <w:rStyle w:val="selected"/>
        </w:rPr>
        <w:t>D</w:t>
      </w:r>
      <w:r>
        <w:rPr>
          <w:rStyle w:val="selected"/>
        </w:rPr>
        <w:t>emais receitas de natureza não orçamentária ou vinculadas a atividades finalísticas próprias.</w:t>
      </w:r>
    </w:p>
    <w:p w14:paraId="646E26A9" w14:textId="77777777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6º</w:t>
      </w:r>
      <w:r>
        <w:rPr>
          <w:rStyle w:val="selected"/>
        </w:rPr>
        <w:t xml:space="preserve"> As receitas próprias de que trata o § 5º, realizadas no decorrer do exercício, poderão ser incorporadas ao orçamento da Câmara Municipal mediante a abertura de crédito adicional suplementar por excesso de arrecadação, nos termos da legislação orçamentária e financeira aplicável.</w:t>
      </w:r>
    </w:p>
    <w:p w14:paraId="70CE0C04" w14:textId="77777777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7º</w:t>
      </w:r>
      <w:r>
        <w:rPr>
          <w:rStyle w:val="selected"/>
        </w:rPr>
        <w:t xml:space="preserve"> As receitas próprias de que trata o § 5º não integram a base de cálculo do duodécimo previsto no </w:t>
      </w:r>
      <w:r>
        <w:rPr>
          <w:rStyle w:val="selected"/>
          <w:i/>
          <w:iCs/>
        </w:rPr>
        <w:t>caput</w:t>
      </w:r>
      <w:r>
        <w:rPr>
          <w:rStyle w:val="selected"/>
        </w:rPr>
        <w:t xml:space="preserve"> e no § 1º deste artigo.</w:t>
      </w:r>
    </w:p>
    <w:p w14:paraId="2BAFE180" w14:textId="1A0746CF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8º</w:t>
      </w:r>
      <w:r>
        <w:rPr>
          <w:rStyle w:val="selected"/>
        </w:rPr>
        <w:t xml:space="preserve"> Para os fins do disposto neste artigo, o excedente de repasse duodecimal consiste no saldo positivo das diferenças, acumuladas</w:t>
      </w:r>
      <w:r w:rsidR="00936C24">
        <w:rPr>
          <w:rStyle w:val="selected"/>
        </w:rPr>
        <w:t xml:space="preserve"> </w:t>
      </w:r>
      <w:r>
        <w:rPr>
          <w:rStyle w:val="selected"/>
        </w:rPr>
        <w:t>mês a mês, entre o repasse duodecimal realizado, que se fundamenta na receita realizada, e o repasse previsto no cronograma de desembolso ao Poder Legislativo."</w:t>
      </w:r>
    </w:p>
    <w:p w14:paraId="156AC2A5" w14:textId="77777777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9º</w:t>
      </w:r>
      <w:r>
        <w:rPr>
          <w:rStyle w:val="selected"/>
        </w:rPr>
        <w:t xml:space="preserve"> Consideram-se os repasses realizados dentro do exercício, equivalentes ao somatório dos ingressos financeiros ocorridos entre os meses de janeiro a dezembro, em comparação com o duodécimo orçado para o mesmo mês, independentemente do mês de realização da receita." (NR)</w:t>
      </w:r>
    </w:p>
    <w:p w14:paraId="3BB9F0EF" w14:textId="2108C68C" w:rsidR="00FB5BF8" w:rsidRDefault="00FB5BF8" w:rsidP="00FB5BF8">
      <w:pPr>
        <w:pStyle w:val="NormalWeb"/>
        <w:jc w:val="both"/>
      </w:pPr>
      <w:r>
        <w:rPr>
          <w:rStyle w:val="selected"/>
          <w:b/>
          <w:bCs/>
        </w:rPr>
        <w:lastRenderedPageBreak/>
        <w:t>Art. 2º.</w:t>
      </w:r>
      <w:r w:rsidR="001C67D1">
        <w:rPr>
          <w:rStyle w:val="selected"/>
        </w:rPr>
        <w:t xml:space="preserve"> Fica acrescentado o artigo 109-A</w:t>
      </w:r>
      <w:r>
        <w:rPr>
          <w:rStyle w:val="selected"/>
        </w:rPr>
        <w:t xml:space="preserve"> às Disposições Finais da Lei Orgânica do Município de Chupinguaia, com a seguinte redação:</w:t>
      </w:r>
    </w:p>
    <w:p w14:paraId="675CD51E" w14:textId="2FE3778E" w:rsidR="00FB5BF8" w:rsidRDefault="00FB5BF8" w:rsidP="00FB5BF8">
      <w:pPr>
        <w:pStyle w:val="NormalWeb"/>
        <w:ind w:left="1134"/>
        <w:jc w:val="both"/>
      </w:pPr>
      <w:r>
        <w:rPr>
          <w:rStyle w:val="selected"/>
        </w:rPr>
        <w:t>"</w:t>
      </w:r>
      <w:r w:rsidR="004D7B9E">
        <w:rPr>
          <w:rStyle w:val="selected"/>
          <w:b/>
          <w:bCs/>
        </w:rPr>
        <w:t>Art. 109-A</w:t>
      </w:r>
      <w:r>
        <w:rPr>
          <w:rStyle w:val="selected"/>
          <w:b/>
          <w:bCs/>
        </w:rPr>
        <w:t>.</w:t>
      </w:r>
      <w:r>
        <w:rPr>
          <w:rStyle w:val="selected"/>
        </w:rPr>
        <w:t xml:space="preserve"> As rec</w:t>
      </w:r>
      <w:r w:rsidR="005E314C">
        <w:rPr>
          <w:rStyle w:val="selected"/>
        </w:rPr>
        <w:t>eitas próprias de que trata o §</w:t>
      </w:r>
      <w:r>
        <w:rPr>
          <w:rStyle w:val="selected"/>
        </w:rPr>
        <w:t xml:space="preserve">5º do art. 28, inclusive os rendimentos de aplicações financeiras, integrantes de superávit financeiro de exercícios anteriores, independentemente da fonte de recurso em que tenham sido classificadas, e cujos valores ainda não tenham sido destinados ao </w:t>
      </w:r>
      <w:r>
        <w:rPr>
          <w:rStyle w:val="selected"/>
          <w:b/>
          <w:bCs/>
        </w:rPr>
        <w:t>Sistema Previdência Social</w:t>
      </w:r>
      <w:r>
        <w:rPr>
          <w:rStyle w:val="selected"/>
        </w:rPr>
        <w:t>, poderão ser incorporadas ao orçamento vigente da Câmara Municipal mediante abertura de crédito adicional suplementar por superávit financeiro, nos termos da legislação orçamentária e financeira aplicável.</w:t>
      </w:r>
    </w:p>
    <w:p w14:paraId="6F68C6FF" w14:textId="77777777" w:rsidR="00FB5BF8" w:rsidRDefault="00FB5BF8" w:rsidP="00FB5BF8">
      <w:pPr>
        <w:pStyle w:val="NormalWeb"/>
        <w:ind w:left="1134"/>
        <w:jc w:val="both"/>
      </w:pPr>
      <w:r>
        <w:rPr>
          <w:rStyle w:val="selected"/>
          <w:b/>
          <w:bCs/>
        </w:rPr>
        <w:t>§ 1º</w:t>
      </w:r>
      <w:r>
        <w:rPr>
          <w:rStyle w:val="selected"/>
        </w:rPr>
        <w:t xml:space="preserve"> O Plano Plurianual - PPA, a Lei de Diretrizes Orçamentárias - LDO e a Lei Orçamentária Anual - LOA não poderão dispor diferentemente do previsto neste artigo." (NR)</w:t>
      </w:r>
    </w:p>
    <w:p w14:paraId="4A0AE67F" w14:textId="77777777" w:rsidR="00216A81" w:rsidRDefault="00FB5BF8" w:rsidP="00FB5BF8">
      <w:pPr>
        <w:pStyle w:val="NormalWeb"/>
        <w:rPr>
          <w:rStyle w:val="selected"/>
        </w:rPr>
      </w:pPr>
      <w:r>
        <w:rPr>
          <w:rStyle w:val="selected"/>
          <w:b/>
          <w:bCs/>
        </w:rPr>
        <w:t>Art. 3º.</w:t>
      </w:r>
      <w:r>
        <w:rPr>
          <w:rStyle w:val="selected"/>
        </w:rPr>
        <w:t xml:space="preserve"> Esta Emenda</w:t>
      </w:r>
    </w:p>
    <w:p w14:paraId="7889C700" w14:textId="77777777" w:rsidR="00216A81" w:rsidRDefault="00216A81" w:rsidP="00FB5BF8">
      <w:pPr>
        <w:pStyle w:val="NormalWeb"/>
        <w:rPr>
          <w:rStyle w:val="selected"/>
        </w:rPr>
      </w:pPr>
    </w:p>
    <w:p w14:paraId="21A72272" w14:textId="1F39694F" w:rsidR="00FB5BF8" w:rsidRDefault="00FB5BF8" w:rsidP="00FB5BF8">
      <w:pPr>
        <w:pStyle w:val="NormalWeb"/>
      </w:pPr>
      <w:r>
        <w:rPr>
          <w:rStyle w:val="selected"/>
        </w:rPr>
        <w:t xml:space="preserve"> à Lei Orgânica entra em vigor na data de sua publicação.</w:t>
      </w:r>
    </w:p>
    <w:p w14:paraId="12F61D68" w14:textId="77777777" w:rsidR="00FB5BF8" w:rsidRDefault="00FB5BF8" w:rsidP="00A83809">
      <w:pPr>
        <w:pStyle w:val="NormalWeb"/>
        <w:jc w:val="both"/>
        <w:rPr>
          <w:rStyle w:val="selected"/>
        </w:rPr>
      </w:pPr>
    </w:p>
    <w:p w14:paraId="56FB5247" w14:textId="35AA70ED" w:rsidR="00FB5BF8" w:rsidRDefault="00FB5BF8" w:rsidP="00AB3D28">
      <w:pPr>
        <w:pStyle w:val="NormalWeb"/>
        <w:jc w:val="right"/>
        <w:rPr>
          <w:rStyle w:val="selected"/>
        </w:rPr>
      </w:pPr>
      <w:r>
        <w:rPr>
          <w:rStyle w:val="selected"/>
        </w:rPr>
        <w:t>Sala das Sessões, outubro de 2025</w:t>
      </w:r>
    </w:p>
    <w:p w14:paraId="5664774E" w14:textId="77777777" w:rsidR="00FB5BF8" w:rsidRDefault="00FB5BF8" w:rsidP="00AB3D28">
      <w:pPr>
        <w:pStyle w:val="NormalWeb"/>
        <w:jc w:val="both"/>
        <w:rPr>
          <w:rStyle w:val="selected"/>
          <w:b/>
          <w:bCs/>
        </w:rPr>
      </w:pPr>
    </w:p>
    <w:p w14:paraId="24F338B4" w14:textId="77777777" w:rsidR="00355CAB" w:rsidRDefault="00355CAB" w:rsidP="00AB3D28">
      <w:pPr>
        <w:pStyle w:val="NormalWeb"/>
        <w:jc w:val="both"/>
        <w:rPr>
          <w:rStyle w:val="selected"/>
          <w:b/>
          <w:bCs/>
        </w:rPr>
      </w:pPr>
    </w:p>
    <w:p w14:paraId="6DD94CA6" w14:textId="010E8439" w:rsidR="002F2DFB" w:rsidRDefault="00FB5BF8" w:rsidP="00AB3D28">
      <w:pPr>
        <w:pStyle w:val="NormalWeb"/>
        <w:jc w:val="both"/>
        <w:rPr>
          <w:rStyle w:val="selected"/>
          <w:b/>
          <w:bCs/>
        </w:rPr>
      </w:pPr>
      <w:r>
        <w:rPr>
          <w:rStyle w:val="selected"/>
          <w:b/>
          <w:bCs/>
        </w:rPr>
        <w:t>MESA DIRETORA DA CÂMARA MUNICIPAL DE CHUPINGUAIA</w:t>
      </w:r>
    </w:p>
    <w:p w14:paraId="0D9C02D8" w14:textId="49FDB561" w:rsidR="002F2DFB" w:rsidRPr="002F2DFB" w:rsidRDefault="002F2DFB" w:rsidP="00AB3D28">
      <w:pPr>
        <w:pStyle w:val="NormalWeb"/>
        <w:jc w:val="both"/>
        <w:rPr>
          <w:rStyle w:val="selected"/>
          <w:b/>
          <w:bCs/>
        </w:rPr>
      </w:pPr>
      <w:r>
        <w:rPr>
          <w:rStyle w:val="selected"/>
          <w:b/>
          <w:bCs/>
        </w:rPr>
        <w:t xml:space="preserve">                        GARDELL VINICIUS LIMA DOS SANTOS</w:t>
      </w:r>
    </w:p>
    <w:p w14:paraId="6D323CB2" w14:textId="3BBF0BF5" w:rsidR="00FB5BF8" w:rsidRDefault="00FB5BF8" w:rsidP="00AB3D28">
      <w:pPr>
        <w:pStyle w:val="NormalWeb"/>
        <w:jc w:val="both"/>
        <w:rPr>
          <w:rStyle w:val="selected"/>
        </w:rPr>
      </w:pPr>
    </w:p>
    <w:p w14:paraId="2B3A970A" w14:textId="01C116BB" w:rsidR="00FB5BF8" w:rsidRDefault="00FB5BF8" w:rsidP="00AB3D28">
      <w:pPr>
        <w:pStyle w:val="NormalWeb"/>
        <w:jc w:val="both"/>
        <w:rPr>
          <w:rStyle w:val="selected"/>
        </w:rPr>
      </w:pPr>
    </w:p>
    <w:p w14:paraId="6791AAF8" w14:textId="5A58DE49" w:rsidR="00FB5BF8" w:rsidRDefault="00FB5BF8" w:rsidP="00AB3D28">
      <w:pPr>
        <w:pStyle w:val="NormalWeb"/>
        <w:jc w:val="both"/>
        <w:rPr>
          <w:rStyle w:val="selected"/>
        </w:rPr>
      </w:pPr>
    </w:p>
    <w:p w14:paraId="1E548078" w14:textId="2AD14F4A" w:rsidR="00FB5BF8" w:rsidRDefault="00FB5BF8" w:rsidP="00AB3D28">
      <w:pPr>
        <w:pStyle w:val="NormalWeb"/>
        <w:jc w:val="both"/>
        <w:rPr>
          <w:rStyle w:val="selected"/>
        </w:rPr>
      </w:pPr>
    </w:p>
    <w:p w14:paraId="3ADB9F9A" w14:textId="1686A8FF" w:rsidR="00FB5BF8" w:rsidRDefault="00FB5BF8" w:rsidP="00AB3D28">
      <w:pPr>
        <w:pStyle w:val="NormalWeb"/>
        <w:jc w:val="both"/>
        <w:rPr>
          <w:rStyle w:val="selected"/>
        </w:rPr>
      </w:pPr>
    </w:p>
    <w:p w14:paraId="470DEE24" w14:textId="7C75BB0F" w:rsidR="00FB5BF8" w:rsidRDefault="00FB5BF8" w:rsidP="00AB3D28">
      <w:pPr>
        <w:pStyle w:val="NormalWeb"/>
        <w:jc w:val="both"/>
        <w:rPr>
          <w:rStyle w:val="selected"/>
        </w:rPr>
      </w:pPr>
    </w:p>
    <w:p w14:paraId="4B962270" w14:textId="59B4036B" w:rsidR="00FB5BF8" w:rsidRDefault="00FB5BF8" w:rsidP="00AB3D28">
      <w:pPr>
        <w:pStyle w:val="NormalWeb"/>
        <w:jc w:val="both"/>
        <w:rPr>
          <w:rStyle w:val="selected"/>
        </w:rPr>
      </w:pPr>
    </w:p>
    <w:p w14:paraId="5AAC74E4" w14:textId="4303CFFE" w:rsidR="00FB5BF8" w:rsidRDefault="00FB5BF8" w:rsidP="00AB3D28">
      <w:pPr>
        <w:pStyle w:val="NormalWeb"/>
        <w:jc w:val="both"/>
        <w:rPr>
          <w:rStyle w:val="selected"/>
        </w:rPr>
      </w:pPr>
    </w:p>
    <w:p w14:paraId="044F11E1" w14:textId="77777777" w:rsidR="005922C3" w:rsidRDefault="005922C3" w:rsidP="00A83809">
      <w:pPr>
        <w:pStyle w:val="NormalWeb"/>
        <w:pBdr>
          <w:bottom w:val="single" w:sz="12" w:space="1" w:color="auto"/>
        </w:pBdr>
        <w:jc w:val="both"/>
        <w:rPr>
          <w:rStyle w:val="selected"/>
        </w:rPr>
      </w:pPr>
    </w:p>
    <w:p w14:paraId="702B0747" w14:textId="6825EAA2" w:rsidR="005D0804" w:rsidRPr="005D0804" w:rsidRDefault="005D0804" w:rsidP="005D0804">
      <w:pPr>
        <w:pStyle w:val="Ttulo3"/>
        <w:jc w:val="both"/>
        <w:rPr>
          <w:sz w:val="25"/>
        </w:rPr>
      </w:pPr>
      <w:r w:rsidRPr="005D0804">
        <w:rPr>
          <w:rStyle w:val="selected"/>
          <w:sz w:val="25"/>
        </w:rPr>
        <w:t xml:space="preserve">JUSTIFICATIVA À PROPOSTA </w:t>
      </w:r>
      <w:r w:rsidR="005922C3">
        <w:rPr>
          <w:rStyle w:val="selected"/>
          <w:sz w:val="25"/>
        </w:rPr>
        <w:t xml:space="preserve">DE EMENDA À LEI ORGÂNICA </w:t>
      </w:r>
      <w:r w:rsidRPr="005D0804">
        <w:rPr>
          <w:rStyle w:val="selected"/>
          <w:sz w:val="25"/>
        </w:rPr>
        <w:t>2025</w:t>
      </w:r>
    </w:p>
    <w:p w14:paraId="3DC32242" w14:textId="77777777" w:rsidR="005D0804" w:rsidRDefault="005D0804" w:rsidP="005D0804">
      <w:pPr>
        <w:pStyle w:val="NormalWeb"/>
        <w:jc w:val="both"/>
      </w:pPr>
      <w:r>
        <w:rPr>
          <w:rStyle w:val="selected"/>
        </w:rPr>
        <w:t>Nobres Pares,</w:t>
      </w:r>
    </w:p>
    <w:p w14:paraId="0206145F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A presente Proposta de Emenda à Lei Orgânica Municipal é um instrumento de aprimoramento da gestão pública e de fortalecimento da autonomia dos Poderes, pilar essencial do Estado Democrático de Direito. Sua finalidade é singular e de clareza solar: conferir precisão técnica ao tratamento das </w:t>
      </w:r>
      <w:r>
        <w:rPr>
          <w:rStyle w:val="selected"/>
          <w:b/>
          <w:bCs/>
        </w:rPr>
        <w:t>receitas próprias</w:t>
      </w:r>
      <w:r>
        <w:rPr>
          <w:rStyle w:val="selected"/>
        </w:rPr>
        <w:t xml:space="preserve"> desta Casa Legislativa, distinguindo-as, de forma inequívoca, dos recursos recebidos a título de duodécimos, e estabelecer regras claras para o cálculo e a devolução de eventuais excedentes.</w:t>
      </w:r>
    </w:p>
    <w:p w14:paraId="3E48448C" w14:textId="77777777" w:rsidR="005D0804" w:rsidRDefault="005D0804" w:rsidP="005922C3">
      <w:pPr>
        <w:pStyle w:val="NormalWeb"/>
        <w:pBdr>
          <w:bottom w:val="single" w:sz="4" w:space="1" w:color="auto"/>
        </w:pBdr>
        <w:shd w:val="clear" w:color="auto" w:fill="BDD6EE" w:themeFill="accent1" w:themeFillTint="66"/>
        <w:jc w:val="both"/>
      </w:pPr>
      <w:r>
        <w:rPr>
          <w:rStyle w:val="selected"/>
          <w:b/>
          <w:bCs/>
        </w:rPr>
        <w:t>1. O Cenário Atual e a Ambiguidade Normativa</w:t>
      </w:r>
    </w:p>
    <w:p w14:paraId="757A8600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O art. 168 da Constituição Federal de 1988 estabelece o dever de repasse dos recursos orçamentários em duodécimos e, em seu § 2º, a obrigação de restituição do "saldo financeiro" não utilizado. Ocorre que uma interpretação extensiva e tecnicamente imprecisa tem levado ao entendimento de que </w:t>
      </w:r>
      <w:r>
        <w:rPr>
          <w:rStyle w:val="selected"/>
          <w:i/>
          <w:iCs/>
        </w:rPr>
        <w:t>todo e qualquer recurso</w:t>
      </w:r>
      <w:r>
        <w:rPr>
          <w:rStyle w:val="selected"/>
        </w:rPr>
        <w:t xml:space="preserve"> em posse do Legislativo, ao final do exercício, deveria ser devolvido ao Tesouro Municipal.</w:t>
      </w:r>
    </w:p>
    <w:p w14:paraId="7873A85B" w14:textId="4E177D78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Esta leitura, </w:t>
      </w:r>
      <w:r>
        <w:rPr>
          <w:rStyle w:val="selected"/>
          <w:i/>
          <w:iCs/>
        </w:rPr>
        <w:t xml:space="preserve">data </w:t>
      </w:r>
      <w:r w:rsidR="002F2DFB">
        <w:rPr>
          <w:rStyle w:val="selected"/>
          <w:i/>
          <w:iCs/>
        </w:rPr>
        <w:t>máxima</w:t>
      </w:r>
      <w:r>
        <w:rPr>
          <w:rStyle w:val="selected"/>
          <w:i/>
          <w:iCs/>
        </w:rPr>
        <w:t xml:space="preserve"> </w:t>
      </w:r>
      <w:r w:rsidR="002F2DFB">
        <w:rPr>
          <w:rStyle w:val="selected"/>
          <w:i/>
          <w:iCs/>
        </w:rPr>
        <w:t>vênia</w:t>
      </w:r>
      <w:r>
        <w:rPr>
          <w:rStyle w:val="selected"/>
        </w:rPr>
        <w:t>, equivoca-se ao não diferenciar a natureza dos recursos. O comando constitucional de devolução aplica-se, exclusivamente, ao saldo dos recursos transferidos "na forma do caput", ou seja, o saldo dos duodécimos. Ele não alcança, e nem poderia, as receitas que o próprio Poder Legislativo gera por meio de sua gestão administrativa e financeira – as chamadas receitas próprias.</w:t>
      </w:r>
    </w:p>
    <w:p w14:paraId="080E9CBB" w14:textId="77777777" w:rsidR="005D0804" w:rsidRDefault="005D0804" w:rsidP="005922C3">
      <w:pPr>
        <w:pStyle w:val="NormalWeb"/>
        <w:pBdr>
          <w:bottom w:val="single" w:sz="4" w:space="1" w:color="auto"/>
        </w:pBdr>
        <w:shd w:val="clear" w:color="auto" w:fill="BDD6EE" w:themeFill="accent1" w:themeFillTint="66"/>
        <w:jc w:val="both"/>
      </w:pPr>
      <w:r>
        <w:rPr>
          <w:rStyle w:val="selected"/>
          <w:b/>
          <w:bCs/>
        </w:rPr>
        <w:t>2. A Natureza Jurídica das Receitas Próprias</w:t>
      </w:r>
    </w:p>
    <w:p w14:paraId="339F542D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A legislação de finanças públicas, notadamente a Lei nº 4.320/1964, e as normas de contabilidade pública consolidadas no Manual de Contabilidade Aplicada ao Setor Público (MCASP), são cristalinas ao conferir natureza autônoma a esses ingressos. Os rendimentos de aplicações financeiras das disponibilidades de caixa, por exemplo, não são um mero "acessório" do duodécimo; constituem um </w:t>
      </w:r>
      <w:r>
        <w:rPr>
          <w:rStyle w:val="selected"/>
          <w:b/>
          <w:bCs/>
        </w:rPr>
        <w:t>fato gerador autônomo</w:t>
      </w:r>
      <w:r>
        <w:rPr>
          <w:rStyle w:val="selected"/>
        </w:rPr>
        <w:t>, dando origem a uma nova receita orçamentária, que pertence ao órgão que a gerou.</w:t>
      </w:r>
    </w:p>
    <w:p w14:paraId="026D1C91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Tentar aplicar aqui o brocardo latino </w:t>
      </w:r>
      <w:proofErr w:type="spellStart"/>
      <w:r>
        <w:rPr>
          <w:rStyle w:val="selected"/>
          <w:b/>
          <w:bCs/>
          <w:i/>
          <w:iCs/>
        </w:rPr>
        <w:t>accessorium</w:t>
      </w:r>
      <w:proofErr w:type="spellEnd"/>
      <w:r>
        <w:rPr>
          <w:rStyle w:val="selected"/>
          <w:b/>
          <w:bCs/>
          <w:i/>
          <w:iCs/>
        </w:rPr>
        <w:t xml:space="preserve"> </w:t>
      </w:r>
      <w:proofErr w:type="spellStart"/>
      <w:r>
        <w:rPr>
          <w:rStyle w:val="selected"/>
          <w:b/>
          <w:bCs/>
          <w:i/>
          <w:iCs/>
        </w:rPr>
        <w:t>sequitur</w:t>
      </w:r>
      <w:proofErr w:type="spellEnd"/>
      <w:r>
        <w:rPr>
          <w:rStyle w:val="selected"/>
          <w:b/>
          <w:bCs/>
          <w:i/>
          <w:iCs/>
        </w:rPr>
        <w:t xml:space="preserve"> </w:t>
      </w:r>
      <w:proofErr w:type="spellStart"/>
      <w:r>
        <w:rPr>
          <w:rStyle w:val="selected"/>
          <w:b/>
          <w:bCs/>
          <w:i/>
          <w:iCs/>
        </w:rPr>
        <w:t>principale</w:t>
      </w:r>
      <w:proofErr w:type="spellEnd"/>
      <w:r>
        <w:rPr>
          <w:rStyle w:val="selected"/>
        </w:rPr>
        <w:t xml:space="preserve"> (o acessório segue o principal) é um erro técnico. Essa lógica tem pertinência em recursos com vinculação específica, como convênios, onde os rendimentos devem seguir a destinação do principal. Contudo, os duodécimos são recursos de natureza livre, transferidos para custear as atividades do Poder. Seus rendimentos, portanto, também possuem natureza livre e se incorporam ao patrimônio da Câmara Municipal como receita própria.</w:t>
      </w:r>
    </w:p>
    <w:p w14:paraId="2EED8E77" w14:textId="77777777" w:rsidR="005D0804" w:rsidRDefault="005D0804" w:rsidP="005922C3">
      <w:pPr>
        <w:pStyle w:val="NormalWeb"/>
        <w:pBdr>
          <w:bottom w:val="single" w:sz="4" w:space="1" w:color="auto"/>
        </w:pBdr>
        <w:shd w:val="clear" w:color="auto" w:fill="BDD6EE" w:themeFill="accent1" w:themeFillTint="66"/>
        <w:jc w:val="both"/>
      </w:pPr>
      <w:r>
        <w:rPr>
          <w:rStyle w:val="selected"/>
          <w:b/>
          <w:bCs/>
        </w:rPr>
        <w:t>3. A Solução Proposta: Clareza, Legalidade e Eficiência</w:t>
      </w:r>
    </w:p>
    <w:p w14:paraId="6A7F3004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>A emenda ora proposta visa pacificar a matéria, alinhando nossa Lei Orgânica à Constituição Federal e às melhores práticas de gestão financeira, com base nos seguintes pontos:</w:t>
      </w:r>
    </w:p>
    <w:p w14:paraId="2C61F08E" w14:textId="52DDE90C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lastRenderedPageBreak/>
        <w:t>Delimitação da Devolução:</w:t>
      </w:r>
      <w:r>
        <w:rPr>
          <w:rStyle w:val="selected"/>
        </w:rPr>
        <w:t xml:space="preserve"> O novo </w:t>
      </w:r>
      <w:r>
        <w:rPr>
          <w:rStyle w:val="selected"/>
          <w:b/>
          <w:bCs/>
        </w:rPr>
        <w:t>§ 4º do art. 28</w:t>
      </w:r>
      <w:r>
        <w:rPr>
          <w:rStyle w:val="selected"/>
        </w:rPr>
        <w:t xml:space="preserve"> deixa explícito que a obrigação de devolução se restringe ao </w:t>
      </w:r>
      <w:r>
        <w:rPr>
          <w:rStyle w:val="selected"/>
          <w:i/>
          <w:iCs/>
        </w:rPr>
        <w:t>saldo dos repasses duodecimais</w:t>
      </w:r>
      <w:r>
        <w:rPr>
          <w:rStyle w:val="selected"/>
        </w:rPr>
        <w:t>, eliminando a controvérsia existente.</w:t>
      </w:r>
    </w:p>
    <w:p w14:paraId="44564F07" w14:textId="2F072EF6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t>Definição de Receitas Próprias:</w:t>
      </w:r>
      <w:r>
        <w:rPr>
          <w:rStyle w:val="selected"/>
        </w:rPr>
        <w:t xml:space="preserve"> O </w:t>
      </w:r>
      <w:r>
        <w:rPr>
          <w:rStyle w:val="selected"/>
          <w:b/>
          <w:bCs/>
        </w:rPr>
        <w:t>§ 5º</w:t>
      </w:r>
      <w:r>
        <w:rPr>
          <w:rStyle w:val="selected"/>
        </w:rPr>
        <w:t xml:space="preserve"> introduz um rol exemplificativo do que se considera receita própria, trazendo segurança jurídica e padronizando o conceito, nos moldes da legislação estadual.</w:t>
      </w:r>
    </w:p>
    <w:p w14:paraId="3E229869" w14:textId="591B15A3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t>Autorização para Utilização:</w:t>
      </w:r>
      <w:r>
        <w:rPr>
          <w:rStyle w:val="selected"/>
        </w:rPr>
        <w:t xml:space="preserve"> O </w:t>
      </w:r>
      <w:r>
        <w:rPr>
          <w:rStyle w:val="selected"/>
          <w:b/>
          <w:bCs/>
        </w:rPr>
        <w:t>§ 6º</w:t>
      </w:r>
      <w:r>
        <w:rPr>
          <w:rStyle w:val="selected"/>
        </w:rPr>
        <w:t xml:space="preserve"> cria o mecanismo legal para que estas receitas sejam efetivamente utilizadas em benefício das atividades legislativas, mediante a abertura de crédito adicional por excesso de arrecadação. Isso garante que recursos gerados pela eficiência da Casa retornem para a própria Casa, fortalecendo sua capacidade de investimento e custeio.</w:t>
      </w:r>
    </w:p>
    <w:p w14:paraId="503DB7F4" w14:textId="772B64B9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t>Preservação da Base de Cálculo:</w:t>
      </w:r>
      <w:r>
        <w:rPr>
          <w:rStyle w:val="selected"/>
        </w:rPr>
        <w:t xml:space="preserve"> O </w:t>
      </w:r>
      <w:r>
        <w:rPr>
          <w:rStyle w:val="selected"/>
          <w:b/>
          <w:bCs/>
        </w:rPr>
        <w:t>§ 7º</w:t>
      </w:r>
      <w:r>
        <w:rPr>
          <w:rStyle w:val="selected"/>
        </w:rPr>
        <w:t xml:space="preserve"> impede que as receitas próprias sejam indevidamente computadas na base de cálculo para a distribuição dos duodécimos do ano seguinte, evitando uma "socialização" de recursos que, por direito, pertencem ao Legislativo.</w:t>
      </w:r>
    </w:p>
    <w:p w14:paraId="6AC6F43D" w14:textId="081E5B31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t>Definição Técnica de Excedente:</w:t>
      </w:r>
      <w:r>
        <w:rPr>
          <w:rStyle w:val="selected"/>
        </w:rPr>
        <w:t xml:space="preserve"> Os novos </w:t>
      </w:r>
      <w:r>
        <w:rPr>
          <w:rStyle w:val="selected"/>
          <w:b/>
          <w:bCs/>
        </w:rPr>
        <w:t>§§ 8º e 9º</w:t>
      </w:r>
      <w:r>
        <w:rPr>
          <w:rStyle w:val="selected"/>
        </w:rPr>
        <w:t xml:space="preserve"> estabelecem critérios técnicos e objetivos para a apuração de eventual "excedente de repasse duodecimal", conferindo previsibilidade e transparência à relação financeira entre os Poderes.</w:t>
      </w:r>
    </w:p>
    <w:p w14:paraId="6D94B7E0" w14:textId="34BAFE6A" w:rsidR="005D0804" w:rsidRDefault="005D0804" w:rsidP="005922C3">
      <w:pPr>
        <w:pStyle w:val="NormalWeb"/>
        <w:numPr>
          <w:ilvl w:val="0"/>
          <w:numId w:val="13"/>
        </w:numPr>
        <w:tabs>
          <w:tab w:val="clear" w:pos="720"/>
          <w:tab w:val="num" w:pos="1418"/>
        </w:tabs>
        <w:spacing w:before="120" w:beforeAutospacing="0" w:after="120" w:afterAutospacing="0"/>
        <w:ind w:left="1134" w:hanging="357"/>
        <w:jc w:val="both"/>
      </w:pPr>
      <w:r>
        <w:rPr>
          <w:rStyle w:val="selected"/>
          <w:b/>
          <w:bCs/>
        </w:rPr>
        <w:t>Aproveitamento de Superávit Anterior:</w:t>
      </w:r>
      <w:r>
        <w:rPr>
          <w:rStyle w:val="selected"/>
        </w:rPr>
        <w:t xml:space="preserve"> O novo </w:t>
      </w:r>
      <w:r>
        <w:rPr>
          <w:rStyle w:val="selected"/>
          <w:b/>
          <w:bCs/>
        </w:rPr>
        <w:t>Art. 110</w:t>
      </w:r>
      <w:r>
        <w:rPr>
          <w:rStyle w:val="selected"/>
        </w:rPr>
        <w:t xml:space="preserve"> nas Disposições Finais institui uma regra de transição fundamental. Ele permite que o superávit financeiro de exercícios passados, composto por essas receitas próprias e ainda não destinado ao </w:t>
      </w:r>
      <w:r>
        <w:rPr>
          <w:rStyle w:val="selected"/>
          <w:b/>
          <w:bCs/>
        </w:rPr>
        <w:t>Sistema Previdência Social</w:t>
      </w:r>
      <w:r>
        <w:rPr>
          <w:rStyle w:val="selected"/>
        </w:rPr>
        <w:t xml:space="preserve">, seja incorporado ao orçamento vigente. Trata-se de uma medida de racionalidade e eficiência. Adicionalmente, seu </w:t>
      </w:r>
      <w:r>
        <w:rPr>
          <w:rStyle w:val="selected"/>
          <w:b/>
          <w:bCs/>
        </w:rPr>
        <w:t>§ 1º</w:t>
      </w:r>
      <w:r>
        <w:rPr>
          <w:rStyle w:val="selected"/>
        </w:rPr>
        <w:t xml:space="preserve"> garante a supremacia desta norma orgânica sobre as leis orçamentárias anuais (PPA, LDO, LOA), evitando conflitos normativos.</w:t>
      </w:r>
    </w:p>
    <w:p w14:paraId="7D5F05FB" w14:textId="77777777" w:rsidR="005D0804" w:rsidRDefault="005D0804" w:rsidP="005922C3">
      <w:pPr>
        <w:pStyle w:val="NormalWeb"/>
        <w:ind w:firstLine="1134"/>
        <w:jc w:val="both"/>
      </w:pPr>
      <w:r>
        <w:rPr>
          <w:rStyle w:val="selected"/>
        </w:rPr>
        <w:t xml:space="preserve">Em síntese, esta Emenda não cria despesa, não expande limites e não inova de forma temerária. Ao contrário, ela </w:t>
      </w:r>
      <w:r>
        <w:rPr>
          <w:rStyle w:val="selected"/>
          <w:b/>
          <w:bCs/>
        </w:rPr>
        <w:t>organiza, clarifica e alinha</w:t>
      </w:r>
      <w:r>
        <w:rPr>
          <w:rStyle w:val="selected"/>
        </w:rPr>
        <w:t xml:space="preserve"> nossa legislação interna ao que já é preconizado pela Constituição Federal e pelas normas de finanças públicas, garantindo segurança jurídica, conformidade técnica e, acima de tudo, o fortalecimento da autonomia administrativa e financeira dos Poderes, condição </w:t>
      </w:r>
      <w:proofErr w:type="spellStart"/>
      <w:r>
        <w:rPr>
          <w:rStyle w:val="selected"/>
          <w:i/>
          <w:iCs/>
        </w:rPr>
        <w:t>sine</w:t>
      </w:r>
      <w:proofErr w:type="spellEnd"/>
      <w:r>
        <w:rPr>
          <w:rStyle w:val="selected"/>
          <w:i/>
          <w:iCs/>
        </w:rPr>
        <w:t xml:space="preserve"> </w:t>
      </w:r>
      <w:proofErr w:type="spellStart"/>
      <w:r>
        <w:rPr>
          <w:rStyle w:val="selected"/>
          <w:i/>
          <w:iCs/>
        </w:rPr>
        <w:t>qua</w:t>
      </w:r>
      <w:proofErr w:type="spellEnd"/>
      <w:r>
        <w:rPr>
          <w:rStyle w:val="selected"/>
          <w:i/>
          <w:iCs/>
        </w:rPr>
        <w:t xml:space="preserve"> non</w:t>
      </w:r>
      <w:r>
        <w:rPr>
          <w:rStyle w:val="selected"/>
        </w:rPr>
        <w:t xml:space="preserve"> para o bom funcionamento de nossa democracia.</w:t>
      </w:r>
    </w:p>
    <w:p w14:paraId="28D9FC7E" w14:textId="4A34247D" w:rsidR="005D0804" w:rsidRDefault="005D0804" w:rsidP="005922C3">
      <w:pPr>
        <w:pStyle w:val="NormalWeb"/>
        <w:ind w:firstLine="1134"/>
        <w:jc w:val="both"/>
        <w:rPr>
          <w:rStyle w:val="selected"/>
        </w:rPr>
      </w:pPr>
      <w:r>
        <w:rPr>
          <w:rStyle w:val="selected"/>
        </w:rPr>
        <w:t>Diante do exposto, e certos da relevância e da correção técnica da matéria, solicitamos o apoio dos nobres pares para a aprovação desta crucial Emenda à Lei Orgânica Municipal.</w:t>
      </w:r>
    </w:p>
    <w:p w14:paraId="02801A35" w14:textId="50EB71BA" w:rsidR="00A83809" w:rsidRDefault="002F2DFB" w:rsidP="002F2DFB">
      <w:pPr>
        <w:pStyle w:val="NormalWeb"/>
        <w:ind w:firstLine="1701"/>
        <w:jc w:val="center"/>
        <w:rPr>
          <w:rStyle w:val="selected"/>
        </w:rPr>
      </w:pPr>
      <w:r>
        <w:rPr>
          <w:rStyle w:val="selected"/>
        </w:rPr>
        <w:t xml:space="preserve">                      </w:t>
      </w:r>
      <w:r w:rsidR="00A83809">
        <w:rPr>
          <w:rStyle w:val="selected"/>
        </w:rPr>
        <w:t xml:space="preserve">Câmara de Chupinguaia, </w:t>
      </w:r>
      <w:r w:rsidR="00007B5F">
        <w:rPr>
          <w:rStyle w:val="selected"/>
        </w:rPr>
        <w:t xml:space="preserve">outubro </w:t>
      </w:r>
      <w:r w:rsidR="00A83809">
        <w:rPr>
          <w:rStyle w:val="selected"/>
        </w:rPr>
        <w:t xml:space="preserve">de </w:t>
      </w:r>
      <w:r>
        <w:rPr>
          <w:rStyle w:val="selected"/>
        </w:rPr>
        <w:t>2025</w:t>
      </w:r>
    </w:p>
    <w:p w14:paraId="4AB23E8E" w14:textId="3316A82D" w:rsidR="005922C3" w:rsidRDefault="005922C3" w:rsidP="00A83809">
      <w:pPr>
        <w:pStyle w:val="NormalWeb"/>
        <w:ind w:firstLine="1701"/>
        <w:jc w:val="right"/>
        <w:rPr>
          <w:rStyle w:val="selected"/>
        </w:rPr>
      </w:pPr>
    </w:p>
    <w:p w14:paraId="073E90FB" w14:textId="77777777" w:rsidR="005922C3" w:rsidRDefault="005922C3" w:rsidP="00A83809">
      <w:pPr>
        <w:pStyle w:val="NormalWeb"/>
        <w:ind w:firstLine="1701"/>
        <w:jc w:val="right"/>
      </w:pPr>
    </w:p>
    <w:sectPr w:rsidR="005922C3" w:rsidSect="00162714">
      <w:headerReference w:type="default" r:id="rId7"/>
      <w:footerReference w:type="default" r:id="rId8"/>
      <w:pgSz w:w="11906" w:h="16838"/>
      <w:pgMar w:top="1417" w:right="1701" w:bottom="993" w:left="1701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D090" w14:textId="77777777" w:rsidR="0089215B" w:rsidRDefault="0089215B" w:rsidP="001735A4">
      <w:pPr>
        <w:spacing w:after="0" w:line="240" w:lineRule="auto"/>
      </w:pPr>
      <w:r>
        <w:separator/>
      </w:r>
    </w:p>
  </w:endnote>
  <w:endnote w:type="continuationSeparator" w:id="0">
    <w:p w14:paraId="762E1006" w14:textId="77777777" w:rsidR="0089215B" w:rsidRDefault="0089215B" w:rsidP="0017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F1A2" w14:textId="77777777" w:rsidR="001735A4" w:rsidRDefault="001735A4" w:rsidP="001735A4">
    <w:pPr>
      <w:tabs>
        <w:tab w:val="center" w:pos="4099"/>
      </w:tabs>
      <w:spacing w:after="9"/>
    </w:pPr>
    <w:r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B765A1" wp14:editId="42C28710">
              <wp:simplePos x="0" y="0"/>
              <wp:positionH relativeFrom="page">
                <wp:posOffset>882650</wp:posOffset>
              </wp:positionH>
              <wp:positionV relativeFrom="page">
                <wp:posOffset>10155168</wp:posOffset>
              </wp:positionV>
              <wp:extent cx="6156326" cy="56388"/>
              <wp:effectExtent l="0" t="0" r="15875" b="20320"/>
              <wp:wrapSquare wrapText="bothSides"/>
              <wp:docPr id="61197" name="Group 61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326" cy="56388"/>
                        <a:chOff x="0" y="0"/>
                        <a:chExt cx="6156326" cy="56388"/>
                      </a:xfrm>
                    </wpg:grpSpPr>
                    <wps:wsp>
                      <wps:cNvPr id="63398" name="Shape 63398"/>
                      <wps:cNvSpPr/>
                      <wps:spPr>
                        <a:xfrm>
                          <a:off x="0" y="0"/>
                          <a:ext cx="615632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38100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9" name="Shape 63399"/>
                      <wps:cNvSpPr/>
                      <wps:spPr>
                        <a:xfrm>
                          <a:off x="0" y="47244"/>
                          <a:ext cx="61563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9144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0EAAE4" id="Group 61197" o:spid="_x0000_s1026" style="position:absolute;margin-left:69.5pt;margin-top:799.6pt;width:484.75pt;height:4.45pt;z-index:251661312;mso-position-horizontal-relative:page;mso-position-vertical-relative:page" coordsize="61563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">
              <v:shape id="Shape 63398" o:spid="_x0000_s1027" style="position:absolute;width:61563;height:381;visibility:visible;mso-wrap-style:square;v-text-anchor:top" coordsize="61563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" path="m,l6156326,r,38100l,38100,,e" fillcolor="#00000a" stroked="f" strokeweight="0">
                <v:path arrowok="t" textboxrect="0,0,6156326,38100"/>
              </v:shape>
              <v:shape id="Shape 63399" o:spid="_x0000_s1028" style="position:absolute;top:472;width:61563;height:91;visibility:visible;mso-wrap-style:square;v-text-anchor:top" coordsize="6156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" path="m,l6156326,r,9144l,9144,,e" fillcolor="#00000a" strokecolor="#0070c0" strokeweight="0">
                <v:path arrowok="t" textboxrect="0,0,6156326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Calibri" w:eastAsia="Calibri" w:hAnsi="Calibri" w:cs="Calibri"/>
      </w:rPr>
      <w:t xml:space="preserve"> </w:t>
    </w:r>
  </w:p>
  <w:p w14:paraId="29F7C91E" w14:textId="77777777" w:rsidR="001735A4" w:rsidRPr="001415CE" w:rsidRDefault="001415CE" w:rsidP="001415CE">
    <w:pPr>
      <w:pStyle w:val="Rodap"/>
      <w:jc w:val="center"/>
      <w:rPr>
        <w:rFonts w:ascii="Tahoma" w:hAnsi="Tahoma" w:cs="Tahoma"/>
      </w:rPr>
    </w:pPr>
    <w:r w:rsidRPr="001415CE">
      <w:rPr>
        <w:rFonts w:ascii="Tahoma" w:eastAsia="Times New Roman" w:hAnsi="Tahoma" w:cs="Tahoma"/>
        <w:sz w:val="14"/>
      </w:rPr>
      <w:t xml:space="preserve">Av. Osvaldo Bertozzi, 2780 centro  CEP: 76.990-000  E-mail: </w:t>
    </w:r>
    <w:hyperlink r:id="rId1" w:history="1">
      <w:r w:rsidRPr="00F27155">
        <w:rPr>
          <w:rStyle w:val="Hyperlink"/>
          <w:rFonts w:ascii="Tahoma" w:eastAsia="Times New Roman" w:hAnsi="Tahoma" w:cs="Tahoma"/>
          <w:sz w:val="14"/>
        </w:rPr>
        <w:t>camaradevereadores@chupinguaia.ro.leg.br</w:t>
      </w:r>
    </w:hyperlink>
    <w:r>
      <w:rPr>
        <w:rFonts w:ascii="Tahoma" w:eastAsia="Times New Roman" w:hAnsi="Tahoma" w:cs="Tahoma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0B9D" w14:textId="77777777" w:rsidR="0089215B" w:rsidRDefault="0089215B" w:rsidP="001735A4">
      <w:pPr>
        <w:spacing w:after="0" w:line="240" w:lineRule="auto"/>
      </w:pPr>
      <w:r>
        <w:separator/>
      </w:r>
    </w:p>
  </w:footnote>
  <w:footnote w:type="continuationSeparator" w:id="0">
    <w:p w14:paraId="6541D464" w14:textId="77777777" w:rsidR="0089215B" w:rsidRDefault="0089215B" w:rsidP="0017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DBF0" w14:textId="77777777" w:rsidR="001735A4" w:rsidRDefault="001735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B39245" wp14:editId="2AFF3C41">
          <wp:simplePos x="0" y="0"/>
          <wp:positionH relativeFrom="column">
            <wp:posOffset>2404745</wp:posOffset>
          </wp:positionH>
          <wp:positionV relativeFrom="paragraph">
            <wp:posOffset>-301464</wp:posOffset>
          </wp:positionV>
          <wp:extent cx="554010" cy="653142"/>
          <wp:effectExtent l="0" t="0" r="0" b="0"/>
          <wp:wrapNone/>
          <wp:docPr id="10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010" cy="65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84739" w14:textId="77777777" w:rsidR="001735A4" w:rsidRDefault="001735A4">
    <w:pPr>
      <w:pStyle w:val="Cabealho"/>
    </w:pPr>
  </w:p>
  <w:p w14:paraId="19914906" w14:textId="77777777" w:rsidR="001735A4" w:rsidRPr="00C2316E" w:rsidRDefault="001735A4" w:rsidP="00C2316E">
    <w:pPr>
      <w:shd w:val="clear" w:color="auto" w:fill="FFFFFF" w:themeFill="background1"/>
      <w:spacing w:after="0" w:line="240" w:lineRule="auto"/>
      <w:ind w:right="48"/>
      <w:jc w:val="center"/>
      <w:rPr>
        <w:rFonts w:ascii="Tahoma" w:hAnsi="Tahoma"/>
        <w:b/>
        <w:color w:val="1F3864" w:themeColor="accent5" w:themeShade="80"/>
        <w:sz w:val="24"/>
      </w:rPr>
    </w:pPr>
    <w:r w:rsidRPr="00C2316E">
      <w:rPr>
        <w:rFonts w:ascii="Tahoma" w:eastAsia="Times New Roman" w:hAnsi="Tahoma" w:cs="Times New Roman"/>
        <w:b/>
        <w:color w:val="1F3864" w:themeColor="accent5" w:themeShade="80"/>
        <w:sz w:val="18"/>
      </w:rPr>
      <w:t>PODER LEGISLATIVO</w:t>
    </w:r>
  </w:p>
  <w:p w14:paraId="75AB338F" w14:textId="77777777" w:rsidR="001735A4" w:rsidRPr="00C2316E" w:rsidRDefault="001735A4" w:rsidP="00C2316E">
    <w:pPr>
      <w:shd w:val="clear" w:color="auto" w:fill="FFFFFF" w:themeFill="background1"/>
      <w:spacing w:after="0" w:line="240" w:lineRule="auto"/>
      <w:jc w:val="center"/>
      <w:rPr>
        <w:rFonts w:ascii="Tahoma" w:eastAsia="Times New Roman" w:hAnsi="Tahoma" w:cs="Times New Roman"/>
        <w:b/>
        <w:color w:val="1F3864" w:themeColor="accent5" w:themeShade="80"/>
        <w:sz w:val="18"/>
        <w:u w:val="single"/>
      </w:rPr>
    </w:pPr>
    <w:r w:rsidRPr="00C2316E">
      <w:rPr>
        <w:rFonts w:ascii="Tahoma" w:eastAsia="Times New Roman" w:hAnsi="Tahoma" w:cs="Times New Roman"/>
        <w:b/>
        <w:color w:val="1F3864" w:themeColor="accent5" w:themeShade="80"/>
        <w:sz w:val="18"/>
        <w:u w:val="single"/>
      </w:rPr>
      <w:t>CÂMARA DE VEREADORES DE CHUPINGUAIA– RO</w:t>
    </w:r>
  </w:p>
  <w:p w14:paraId="64E70E59" w14:textId="77777777" w:rsidR="001735A4" w:rsidRDefault="001735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8A9"/>
    <w:multiLevelType w:val="multilevel"/>
    <w:tmpl w:val="06DE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474A9"/>
    <w:multiLevelType w:val="multilevel"/>
    <w:tmpl w:val="7D1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363A7"/>
    <w:multiLevelType w:val="multilevel"/>
    <w:tmpl w:val="7CFC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B0D47"/>
    <w:multiLevelType w:val="multilevel"/>
    <w:tmpl w:val="04E2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53893"/>
    <w:multiLevelType w:val="multilevel"/>
    <w:tmpl w:val="6C22C3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97BEF"/>
    <w:multiLevelType w:val="multilevel"/>
    <w:tmpl w:val="81F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63D78"/>
    <w:multiLevelType w:val="multilevel"/>
    <w:tmpl w:val="D08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446EE"/>
    <w:multiLevelType w:val="multilevel"/>
    <w:tmpl w:val="CC64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B10E0"/>
    <w:multiLevelType w:val="multilevel"/>
    <w:tmpl w:val="213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B55AB"/>
    <w:multiLevelType w:val="multilevel"/>
    <w:tmpl w:val="A82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00B62"/>
    <w:multiLevelType w:val="multilevel"/>
    <w:tmpl w:val="BC1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F0E23"/>
    <w:multiLevelType w:val="multilevel"/>
    <w:tmpl w:val="F44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94182"/>
    <w:multiLevelType w:val="multilevel"/>
    <w:tmpl w:val="3F6A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851284">
    <w:abstractNumId w:val="8"/>
  </w:num>
  <w:num w:numId="2" w16cid:durableId="1005979232">
    <w:abstractNumId w:val="0"/>
  </w:num>
  <w:num w:numId="3" w16cid:durableId="722408586">
    <w:abstractNumId w:val="11"/>
  </w:num>
  <w:num w:numId="4" w16cid:durableId="1705671765">
    <w:abstractNumId w:val="12"/>
  </w:num>
  <w:num w:numId="5" w16cid:durableId="733939028">
    <w:abstractNumId w:val="3"/>
  </w:num>
  <w:num w:numId="6" w16cid:durableId="1734499270">
    <w:abstractNumId w:val="2"/>
  </w:num>
  <w:num w:numId="7" w16cid:durableId="649166314">
    <w:abstractNumId w:val="7"/>
  </w:num>
  <w:num w:numId="8" w16cid:durableId="360668489">
    <w:abstractNumId w:val="1"/>
  </w:num>
  <w:num w:numId="9" w16cid:durableId="1554000956">
    <w:abstractNumId w:val="10"/>
  </w:num>
  <w:num w:numId="10" w16cid:durableId="158277705">
    <w:abstractNumId w:val="9"/>
  </w:num>
  <w:num w:numId="11" w16cid:durableId="881985177">
    <w:abstractNumId w:val="5"/>
  </w:num>
  <w:num w:numId="12" w16cid:durableId="272132028">
    <w:abstractNumId w:val="6"/>
  </w:num>
  <w:num w:numId="13" w16cid:durableId="1368095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7E"/>
    <w:rsid w:val="00007B5F"/>
    <w:rsid w:val="00031349"/>
    <w:rsid w:val="00077FC2"/>
    <w:rsid w:val="001101D5"/>
    <w:rsid w:val="001415CE"/>
    <w:rsid w:val="00162714"/>
    <w:rsid w:val="001735A4"/>
    <w:rsid w:val="001811D6"/>
    <w:rsid w:val="001C67D1"/>
    <w:rsid w:val="001D6DC6"/>
    <w:rsid w:val="001D7EC7"/>
    <w:rsid w:val="001E5557"/>
    <w:rsid w:val="00213762"/>
    <w:rsid w:val="00216A81"/>
    <w:rsid w:val="00220D50"/>
    <w:rsid w:val="0027147E"/>
    <w:rsid w:val="00282516"/>
    <w:rsid w:val="002937A6"/>
    <w:rsid w:val="002B558D"/>
    <w:rsid w:val="002E11E8"/>
    <w:rsid w:val="002E6D6C"/>
    <w:rsid w:val="002F2DFB"/>
    <w:rsid w:val="002F582A"/>
    <w:rsid w:val="0032505D"/>
    <w:rsid w:val="00346033"/>
    <w:rsid w:val="00355CAB"/>
    <w:rsid w:val="003A0063"/>
    <w:rsid w:val="003D33F6"/>
    <w:rsid w:val="004076FC"/>
    <w:rsid w:val="00423E5B"/>
    <w:rsid w:val="004C3ECF"/>
    <w:rsid w:val="004D7B9E"/>
    <w:rsid w:val="005922C3"/>
    <w:rsid w:val="005B3AD8"/>
    <w:rsid w:val="005D0804"/>
    <w:rsid w:val="005E314C"/>
    <w:rsid w:val="005F3393"/>
    <w:rsid w:val="0060075D"/>
    <w:rsid w:val="00605E27"/>
    <w:rsid w:val="00642614"/>
    <w:rsid w:val="00645689"/>
    <w:rsid w:val="00675B22"/>
    <w:rsid w:val="006922CE"/>
    <w:rsid w:val="006D47CA"/>
    <w:rsid w:val="006E034E"/>
    <w:rsid w:val="00701561"/>
    <w:rsid w:val="00701732"/>
    <w:rsid w:val="00735732"/>
    <w:rsid w:val="00790E89"/>
    <w:rsid w:val="007C1A01"/>
    <w:rsid w:val="007D4F5D"/>
    <w:rsid w:val="00835CE3"/>
    <w:rsid w:val="00842598"/>
    <w:rsid w:val="0085021B"/>
    <w:rsid w:val="00855A52"/>
    <w:rsid w:val="0089215B"/>
    <w:rsid w:val="008E5F13"/>
    <w:rsid w:val="009360AC"/>
    <w:rsid w:val="00936C24"/>
    <w:rsid w:val="00957A24"/>
    <w:rsid w:val="009A39D6"/>
    <w:rsid w:val="009B062F"/>
    <w:rsid w:val="009C5769"/>
    <w:rsid w:val="00A83809"/>
    <w:rsid w:val="00AB3D28"/>
    <w:rsid w:val="00AD5A94"/>
    <w:rsid w:val="00AF53BF"/>
    <w:rsid w:val="00B1577C"/>
    <w:rsid w:val="00B57ACE"/>
    <w:rsid w:val="00B61C6F"/>
    <w:rsid w:val="00C2316E"/>
    <w:rsid w:val="00C604D4"/>
    <w:rsid w:val="00CC40BC"/>
    <w:rsid w:val="00D9751B"/>
    <w:rsid w:val="00DA67B8"/>
    <w:rsid w:val="00DD03E6"/>
    <w:rsid w:val="00E262EE"/>
    <w:rsid w:val="00E31109"/>
    <w:rsid w:val="00EC743C"/>
    <w:rsid w:val="00F10940"/>
    <w:rsid w:val="00F548E9"/>
    <w:rsid w:val="00F600DA"/>
    <w:rsid w:val="00FB3ED6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E2BE"/>
  <w15:chartTrackingRefBased/>
  <w15:docId w15:val="{CECBCC20-A707-41F5-99CA-B0BC910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77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11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F58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73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5A4"/>
  </w:style>
  <w:style w:type="paragraph" w:styleId="Rodap">
    <w:name w:val="footer"/>
    <w:basedOn w:val="Normal"/>
    <w:link w:val="RodapChar"/>
    <w:uiPriority w:val="99"/>
    <w:unhideWhenUsed/>
    <w:rsid w:val="00173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5A4"/>
  </w:style>
  <w:style w:type="paragraph" w:styleId="NormalWeb">
    <w:name w:val="Normal (Web)"/>
    <w:basedOn w:val="Normal"/>
    <w:uiPriority w:val="99"/>
    <w:unhideWhenUsed/>
    <w:rsid w:val="0011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415C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6007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075D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nk">
    <w:name w:val="Link"/>
    <w:basedOn w:val="Fontepargpadro"/>
    <w:rsid w:val="0060075D"/>
    <w:rPr>
      <w:color w:val="5B9BD5" w:themeColor="accent1"/>
    </w:rPr>
  </w:style>
  <w:style w:type="character" w:customStyle="1" w:styleId="cskcde">
    <w:name w:val="cskcde"/>
    <w:basedOn w:val="Fontepargpadro"/>
    <w:rsid w:val="0060075D"/>
  </w:style>
  <w:style w:type="character" w:customStyle="1" w:styleId="hgkelc">
    <w:name w:val="hgkelc"/>
    <w:basedOn w:val="Fontepargpadro"/>
    <w:rsid w:val="0060075D"/>
  </w:style>
  <w:style w:type="character" w:customStyle="1" w:styleId="Ttulo3Char">
    <w:name w:val="Título 3 Char"/>
    <w:basedOn w:val="Fontepargpadro"/>
    <w:link w:val="Ttulo3"/>
    <w:uiPriority w:val="9"/>
    <w:rsid w:val="00077F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itation-1">
    <w:name w:val="citation-1"/>
    <w:basedOn w:val="Fontepargpadro"/>
    <w:rsid w:val="00077FC2"/>
  </w:style>
  <w:style w:type="character" w:customStyle="1" w:styleId="citation-0">
    <w:name w:val="citation-0"/>
    <w:basedOn w:val="Fontepargpadro"/>
    <w:rsid w:val="00077FC2"/>
  </w:style>
  <w:style w:type="character" w:customStyle="1" w:styleId="selected">
    <w:name w:val="selected"/>
    <w:basedOn w:val="Fontepargpadro"/>
    <w:rsid w:val="00A83809"/>
  </w:style>
  <w:style w:type="character" w:customStyle="1" w:styleId="Ttulo4Char">
    <w:name w:val="Título 4 Char"/>
    <w:basedOn w:val="Fontepargpadro"/>
    <w:link w:val="Ttulo4"/>
    <w:uiPriority w:val="9"/>
    <w:semiHidden/>
    <w:rsid w:val="001811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45">
    <w:name w:val="citation-45"/>
    <w:basedOn w:val="Fontepargpadro"/>
    <w:rsid w:val="001811D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1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11D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1811D6"/>
    <w:rPr>
      <w:rFonts w:ascii="Courier New" w:eastAsia="Times New Roman" w:hAnsi="Courier New" w:cs="Courier New"/>
      <w:sz w:val="20"/>
      <w:szCs w:val="20"/>
    </w:rPr>
  </w:style>
  <w:style w:type="character" w:customStyle="1" w:styleId="citation-44">
    <w:name w:val="citation-44"/>
    <w:basedOn w:val="Fontepargpadro"/>
    <w:rsid w:val="001811D6"/>
  </w:style>
  <w:style w:type="character" w:customStyle="1" w:styleId="citation-43">
    <w:name w:val="citation-43"/>
    <w:basedOn w:val="Fontepargpadro"/>
    <w:rsid w:val="001811D6"/>
  </w:style>
  <w:style w:type="character" w:customStyle="1" w:styleId="citation-42">
    <w:name w:val="citation-42"/>
    <w:basedOn w:val="Fontepargpadro"/>
    <w:rsid w:val="0018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chupinguaia.r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 ANDRADE</dc:creator>
  <cp:keywords/>
  <dc:description/>
  <cp:lastModifiedBy>Câmara Municipal Chupinguaia</cp:lastModifiedBy>
  <cp:revision>5</cp:revision>
  <cp:lastPrinted>2025-10-16T13:53:00Z</cp:lastPrinted>
  <dcterms:created xsi:type="dcterms:W3CDTF">2025-10-16T14:39:00Z</dcterms:created>
  <dcterms:modified xsi:type="dcterms:W3CDTF">2025-10-22T12:51:00Z</dcterms:modified>
</cp:coreProperties>
</file>