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8C8F" w14:textId="77777777" w:rsidR="00DB21C8" w:rsidRDefault="00DB21C8" w:rsidP="00DB21C8">
      <w:pPr>
        <w:spacing w:after="23" w:line="259" w:lineRule="auto"/>
        <w:ind w:left="281" w:firstLine="0"/>
        <w:jc w:val="left"/>
      </w:pPr>
      <w:r>
        <w:rPr>
          <w:sz w:val="24"/>
        </w:rPr>
        <w:t xml:space="preserve">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F271539" wp14:editId="49662C49">
            <wp:simplePos x="0" y="0"/>
            <wp:positionH relativeFrom="column">
              <wp:posOffset>178638</wp:posOffset>
            </wp:positionH>
            <wp:positionV relativeFrom="paragraph">
              <wp:posOffset>788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E5FD5A" w14:textId="77777777" w:rsidR="00DB21C8" w:rsidRDefault="00DB21C8" w:rsidP="00DB21C8">
      <w:r>
        <w:rPr>
          <w:sz w:val="24"/>
        </w:rPr>
        <w:t xml:space="preserve">                    </w:t>
      </w:r>
      <w:r>
        <w:t xml:space="preserve">ESTADO DE RONDÔNIA </w:t>
      </w:r>
    </w:p>
    <w:p w14:paraId="3F353066" w14:textId="77777777" w:rsidR="00DB21C8" w:rsidRDefault="00DB21C8" w:rsidP="00DB21C8">
      <w:r>
        <w:t xml:space="preserve">                      PODER LEGISLATIVO </w:t>
      </w:r>
    </w:p>
    <w:p w14:paraId="768E9690" w14:textId="77777777" w:rsidR="00DB21C8" w:rsidRDefault="00DB21C8" w:rsidP="00DB21C8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57330686" w14:textId="77777777" w:rsidR="00DB21C8" w:rsidRDefault="00DB21C8" w:rsidP="00DB21C8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B8E3864" w14:textId="77777777" w:rsidR="00DB21C8" w:rsidRDefault="00DB21C8" w:rsidP="00DB21C8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A163BE0" w14:textId="461D5015" w:rsidR="00DB21C8" w:rsidRDefault="00DB21C8" w:rsidP="00DB21C8">
      <w:pPr>
        <w:spacing w:after="0" w:line="259" w:lineRule="auto"/>
        <w:ind w:left="182" w:firstLine="0"/>
        <w:jc w:val="left"/>
      </w:pPr>
      <w:r>
        <w:t xml:space="preserve">PAUTA DA 19ª (DÉCIMA NONA) SESSÃO ORDINÁRIA DA VIGÉSIMA OITAVA SESSÃO LEGISLATIVA DA </w:t>
      </w:r>
      <w:r w:rsidR="008F1488">
        <w:t>OITAVA</w:t>
      </w:r>
      <w:r>
        <w:t xml:space="preserve"> LEGISLATURA DA CÂMARA DE VEREADORES DO MUNICÍPIO DE CHUPINGUAIA-RO. </w:t>
      </w:r>
    </w:p>
    <w:p w14:paraId="420401A0" w14:textId="77777777" w:rsidR="00DB21C8" w:rsidRDefault="00DB21C8" w:rsidP="00DB21C8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EBF3DB4" w14:textId="182740D3" w:rsidR="00DB21C8" w:rsidRDefault="00DB21C8" w:rsidP="00DB21C8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01 SETEMBRO DE 2025 </w:t>
      </w:r>
    </w:p>
    <w:p w14:paraId="79AEEF6A" w14:textId="77777777" w:rsidR="00DB21C8" w:rsidRDefault="00DB21C8" w:rsidP="00DB21C8">
      <w:pPr>
        <w:spacing w:after="0" w:line="259" w:lineRule="auto"/>
        <w:ind w:left="182" w:firstLine="0"/>
      </w:pPr>
      <w:r>
        <w:t xml:space="preserve"> </w:t>
      </w:r>
    </w:p>
    <w:p w14:paraId="4723AB38" w14:textId="77777777" w:rsidR="00DB21C8" w:rsidRDefault="00DB21C8" w:rsidP="00DB21C8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3E6C6AF8" w14:textId="77777777" w:rsidR="00DB21C8" w:rsidRDefault="00DB21C8" w:rsidP="00DB21C8">
      <w:pPr>
        <w:ind w:left="177"/>
      </w:pPr>
      <w:r>
        <w:t xml:space="preserve">                                 EXPEDIENTE RECEBIDO: </w:t>
      </w:r>
    </w:p>
    <w:p w14:paraId="60508DF3" w14:textId="77777777" w:rsidR="00DB21C8" w:rsidRDefault="00DB21C8" w:rsidP="00DB21C8">
      <w:pPr>
        <w:ind w:left="177"/>
      </w:pPr>
      <w:r>
        <w:t xml:space="preserve">1ª PARTE </w:t>
      </w:r>
    </w:p>
    <w:p w14:paraId="0D6285A9" w14:textId="77777777" w:rsidR="00DB21C8" w:rsidRDefault="00DB21C8" w:rsidP="00DB21C8">
      <w:pPr>
        <w:spacing w:after="0" w:line="259" w:lineRule="auto"/>
        <w:ind w:left="182" w:firstLine="0"/>
      </w:pPr>
      <w:r>
        <w:t xml:space="preserve"> </w:t>
      </w:r>
    </w:p>
    <w:p w14:paraId="17AE6AD4" w14:textId="77777777" w:rsidR="00DB21C8" w:rsidRDefault="00DB21C8" w:rsidP="00DB21C8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94516F8" w14:textId="77777777" w:rsidR="00DB21C8" w:rsidRDefault="00DB21C8" w:rsidP="00DB21C8">
      <w:pPr>
        <w:spacing w:after="0" w:line="259" w:lineRule="auto"/>
        <w:ind w:left="182" w:firstLine="0"/>
      </w:pPr>
    </w:p>
    <w:p w14:paraId="0A8ED44E" w14:textId="69BE39F1" w:rsidR="00DB21C8" w:rsidRDefault="00DB21C8" w:rsidP="00DB21C8">
      <w:pPr>
        <w:ind w:left="281" w:firstLine="0"/>
      </w:pPr>
      <w:r>
        <w:t xml:space="preserve"> I-Leitura e votação da Ata da 18ª Sessão Ordinária realizada dia 18 junho de 2025.</w:t>
      </w:r>
    </w:p>
    <w:p w14:paraId="24736E42" w14:textId="74BA61F4" w:rsidR="00DB21C8" w:rsidRDefault="00DB21C8" w:rsidP="00DB21C8">
      <w:pPr>
        <w:ind w:left="0" w:firstLine="0"/>
      </w:pPr>
      <w:r>
        <w:t xml:space="preserve">    II- PROJETO DE LEI Nº 2.929, 2.930, 2.931, 2.932/2025</w:t>
      </w:r>
    </w:p>
    <w:p w14:paraId="7B599D1C" w14:textId="40138316" w:rsidR="00DB21C8" w:rsidRDefault="00DB21C8" w:rsidP="00DB21C8">
      <w:pPr>
        <w:ind w:left="0" w:firstLine="0"/>
      </w:pPr>
      <w:r>
        <w:t xml:space="preserve">    III- INDICAÇÕES Nº </w:t>
      </w:r>
      <w:r w:rsidR="009E3DE4">
        <w:t>076</w:t>
      </w:r>
      <w:r w:rsidR="00DA5C1A">
        <w:t>, 077, 078</w:t>
      </w:r>
      <w:r w:rsidR="006003D6">
        <w:t>, 079, 080</w:t>
      </w:r>
      <w:r>
        <w:t xml:space="preserve">/2025 </w:t>
      </w:r>
    </w:p>
    <w:p w14:paraId="37ED31C9" w14:textId="77777777" w:rsidR="00DB21C8" w:rsidRDefault="00DB21C8" w:rsidP="00DB21C8">
      <w:pPr>
        <w:ind w:left="0" w:firstLine="0"/>
      </w:pPr>
    </w:p>
    <w:p w14:paraId="219BB42D" w14:textId="77777777" w:rsidR="00DB21C8" w:rsidRDefault="00DB21C8" w:rsidP="00DB21C8">
      <w:pPr>
        <w:ind w:left="0" w:firstLine="0"/>
      </w:pPr>
    </w:p>
    <w:p w14:paraId="6D5BF91D" w14:textId="77777777" w:rsidR="00DB21C8" w:rsidRDefault="00DB21C8" w:rsidP="00DB21C8">
      <w:pPr>
        <w:ind w:left="0" w:firstLine="0"/>
      </w:pPr>
      <w:r>
        <w:t xml:space="preserve">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7C70B469" w14:textId="77777777" w:rsidR="00DB21C8" w:rsidRDefault="00DB21C8" w:rsidP="00DB21C8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0AC6091F" w14:textId="77777777" w:rsidR="00DB21C8" w:rsidRDefault="00DB21C8" w:rsidP="00DB21C8">
      <w:pPr>
        <w:ind w:left="177"/>
      </w:pPr>
      <w:r>
        <w:t xml:space="preserve">        </w:t>
      </w:r>
    </w:p>
    <w:p w14:paraId="676B4D84" w14:textId="77777777" w:rsidR="00DB21C8" w:rsidRDefault="00DB21C8" w:rsidP="00BE1325">
      <w:pPr>
        <w:ind w:left="0" w:firstLine="0"/>
      </w:pPr>
      <w:r>
        <w:t xml:space="preserve"> 2ª PARTE  </w:t>
      </w:r>
    </w:p>
    <w:p w14:paraId="1A89B060" w14:textId="77777777" w:rsidR="00DB21C8" w:rsidRDefault="00DB21C8" w:rsidP="00DB21C8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2F400A2C" w14:textId="77777777" w:rsidR="00DB21C8" w:rsidRDefault="00DB21C8" w:rsidP="00DB21C8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46D315C5" w14:textId="77777777" w:rsidR="00DB21C8" w:rsidRDefault="00DB21C8" w:rsidP="00DB21C8">
      <w:pPr>
        <w:spacing w:after="0" w:line="259" w:lineRule="auto"/>
        <w:ind w:left="0" w:firstLine="0"/>
      </w:pPr>
    </w:p>
    <w:p w14:paraId="5DAB9BA0" w14:textId="77777777" w:rsidR="00BE1325" w:rsidRDefault="00DB21C8" w:rsidP="00DB21C8">
      <w:pPr>
        <w:spacing w:after="0" w:line="259" w:lineRule="auto"/>
        <w:ind w:left="0" w:firstLine="0"/>
      </w:pPr>
      <w:r>
        <w:t xml:space="preserve"> </w:t>
      </w:r>
    </w:p>
    <w:p w14:paraId="465D1B4E" w14:textId="38FB9F97" w:rsidR="00BE1325" w:rsidRDefault="00DB21C8" w:rsidP="00BE1325">
      <w:pPr>
        <w:spacing w:after="0" w:line="259" w:lineRule="auto"/>
        <w:ind w:left="0" w:firstLine="0"/>
      </w:pPr>
      <w:r>
        <w:t xml:space="preserve"> </w:t>
      </w:r>
      <w:bookmarkStart w:id="0" w:name="_Hlk206143279"/>
      <w:r>
        <w:t>Leitura</w:t>
      </w:r>
      <w:r w:rsidR="007808EE">
        <w:t xml:space="preserve"> e Encaminhamento</w:t>
      </w:r>
      <w:r w:rsidR="00BE1325" w:rsidRPr="00BE1325">
        <w:t xml:space="preserve"> </w:t>
      </w:r>
      <w:r w:rsidR="00BE1325">
        <w:t>do Projeto de Lei 2.929/2025</w:t>
      </w:r>
    </w:p>
    <w:p w14:paraId="63C5A5B2" w14:textId="7B574F37" w:rsidR="00DB21C8" w:rsidRDefault="007808EE" w:rsidP="00DB21C8">
      <w:pPr>
        <w:spacing w:after="0" w:line="259" w:lineRule="auto"/>
        <w:ind w:left="0" w:firstLine="0"/>
      </w:pPr>
      <w:r w:rsidRPr="00A2313A">
        <w:t xml:space="preserve"> </w:t>
      </w:r>
      <w:r>
        <w:t>para comissão de Redação e Justiça</w:t>
      </w:r>
      <w:r w:rsidR="008F1488">
        <w:t xml:space="preserve"> </w:t>
      </w:r>
      <w:r w:rsidR="00BE1325">
        <w:t xml:space="preserve">                 </w:t>
      </w:r>
    </w:p>
    <w:bookmarkEnd w:id="0"/>
    <w:p w14:paraId="54E58095" w14:textId="47C8EFB9" w:rsidR="00BE1325" w:rsidRDefault="00DB21C8" w:rsidP="00BE1325">
      <w:pPr>
        <w:spacing w:after="0" w:line="259" w:lineRule="auto"/>
        <w:ind w:left="0" w:firstLine="0"/>
      </w:pPr>
      <w:r>
        <w:t xml:space="preserve">Leitura </w:t>
      </w:r>
      <w:r w:rsidR="00A2313A">
        <w:t xml:space="preserve">e </w:t>
      </w:r>
      <w:bookmarkStart w:id="1" w:name="_Hlk207186957"/>
      <w:r w:rsidR="00A2313A">
        <w:t>Encaminhamento</w:t>
      </w:r>
      <w:r w:rsidR="00BE1325" w:rsidRPr="00BE1325">
        <w:t xml:space="preserve"> </w:t>
      </w:r>
      <w:r w:rsidR="00BE1325">
        <w:t>do Projeto de Lei 2.930/2025</w:t>
      </w:r>
    </w:p>
    <w:p w14:paraId="30729BFF" w14:textId="51343C30" w:rsidR="00DB21C8" w:rsidRDefault="00A2313A" w:rsidP="00DB21C8">
      <w:pPr>
        <w:spacing w:after="0" w:line="259" w:lineRule="auto"/>
        <w:ind w:left="0" w:firstLine="0"/>
      </w:pPr>
      <w:r w:rsidRPr="00A2313A">
        <w:t xml:space="preserve"> </w:t>
      </w:r>
      <w:r>
        <w:t>para comissão de Redação e Justiça</w:t>
      </w:r>
      <w:r w:rsidR="00DB21C8">
        <w:t xml:space="preserve"> </w:t>
      </w:r>
      <w:bookmarkEnd w:id="1"/>
      <w:r w:rsidR="00BE1325">
        <w:t xml:space="preserve">     </w:t>
      </w:r>
    </w:p>
    <w:p w14:paraId="37781CF9" w14:textId="6A3DF1CC" w:rsidR="00BE1325" w:rsidRDefault="00DB21C8" w:rsidP="00DB21C8">
      <w:pPr>
        <w:spacing w:after="0" w:line="259" w:lineRule="auto"/>
        <w:ind w:left="0" w:right="-852" w:firstLine="0"/>
        <w:jc w:val="left"/>
      </w:pPr>
      <w:r>
        <w:t xml:space="preserve">Leitura e </w:t>
      </w:r>
      <w:r w:rsidR="00A2313A">
        <w:t>Encaminhamento</w:t>
      </w:r>
      <w:r w:rsidR="00BE1325">
        <w:t xml:space="preserve"> do Projeto de Lei</w:t>
      </w:r>
      <w:r w:rsidR="00BE1325" w:rsidRPr="00BE1325">
        <w:t xml:space="preserve"> </w:t>
      </w:r>
      <w:r w:rsidR="00BE1325">
        <w:t>2.931/2025</w:t>
      </w:r>
      <w:r w:rsidR="00A2313A" w:rsidRPr="00A2313A">
        <w:t xml:space="preserve"> </w:t>
      </w:r>
    </w:p>
    <w:p w14:paraId="36D12DF9" w14:textId="6D3F7BAA" w:rsidR="00DB21C8" w:rsidRDefault="00A2313A" w:rsidP="00DB21C8">
      <w:pPr>
        <w:spacing w:after="0" w:line="259" w:lineRule="auto"/>
        <w:ind w:left="0" w:right="-852" w:firstLine="0"/>
        <w:jc w:val="left"/>
      </w:pPr>
      <w:r>
        <w:t>para comissão de Redação e Justiça</w:t>
      </w:r>
      <w:r w:rsidR="00DB21C8">
        <w:t xml:space="preserve"> </w:t>
      </w:r>
    </w:p>
    <w:p w14:paraId="3E0E1B55" w14:textId="77777777" w:rsidR="00B74BB1" w:rsidRDefault="00BE1325" w:rsidP="00BE1325">
      <w:pPr>
        <w:spacing w:after="0" w:line="259" w:lineRule="auto"/>
        <w:ind w:left="0" w:right="-852" w:firstLine="0"/>
        <w:jc w:val="left"/>
      </w:pPr>
      <w:r>
        <w:t>Leitura e Encaminhamento</w:t>
      </w:r>
      <w:r w:rsidR="00B74BB1">
        <w:t xml:space="preserve"> do Projeto de Lei</w:t>
      </w:r>
      <w:r w:rsidRPr="00A2313A">
        <w:t xml:space="preserve"> </w:t>
      </w:r>
      <w:r w:rsidR="00B74BB1">
        <w:t>2.932/2025</w:t>
      </w:r>
    </w:p>
    <w:p w14:paraId="7CCDAA40" w14:textId="3EC24642" w:rsidR="00BE1325" w:rsidRDefault="00BE1325" w:rsidP="00BE1325">
      <w:pPr>
        <w:spacing w:after="0" w:line="259" w:lineRule="auto"/>
        <w:ind w:left="0" w:right="-852" w:firstLine="0"/>
        <w:jc w:val="left"/>
      </w:pPr>
      <w:r>
        <w:t xml:space="preserve">para comissão de Redação e Justiça </w:t>
      </w:r>
    </w:p>
    <w:p w14:paraId="2CB37CF6" w14:textId="77777777" w:rsidR="00BE1325" w:rsidRDefault="00BE1325" w:rsidP="00DB21C8">
      <w:pPr>
        <w:spacing w:after="0" w:line="259" w:lineRule="auto"/>
        <w:ind w:left="0" w:right="-852" w:firstLine="0"/>
        <w:jc w:val="left"/>
      </w:pPr>
    </w:p>
    <w:tbl>
      <w:tblPr>
        <w:tblStyle w:val="TableGrid"/>
        <w:tblpPr w:leftFromText="141" w:rightFromText="141" w:vertAnchor="text" w:horzAnchor="margin" w:tblpXSpec="center" w:tblpY="399"/>
        <w:tblW w:w="10065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510"/>
        <w:gridCol w:w="6626"/>
        <w:gridCol w:w="1929"/>
      </w:tblGrid>
      <w:tr w:rsidR="00F514B7" w:rsidRPr="0025560A" w14:paraId="5949510B" w14:textId="77777777" w:rsidTr="008B290E">
        <w:trPr>
          <w:trHeight w:val="120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FE8A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891F383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25560A">
              <w:rPr>
                <w:sz w:val="24"/>
                <w:szCs w:val="24"/>
              </w:rPr>
              <w:t>º</w:t>
            </w:r>
          </w:p>
          <w:p w14:paraId="3237BA56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SESSÃO ORDINÁRIA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559A" w14:textId="77777777" w:rsidR="00F514B7" w:rsidRPr="0025560A" w:rsidRDefault="00F514B7" w:rsidP="008B290E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ESTADO DE RONDÔNIA</w:t>
            </w:r>
          </w:p>
          <w:p w14:paraId="1E84BF0D" w14:textId="77777777" w:rsidR="00F514B7" w:rsidRPr="0025560A" w:rsidRDefault="00F514B7" w:rsidP="008B290E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PODER LEGISLATIVO</w:t>
            </w:r>
          </w:p>
          <w:p w14:paraId="65A221D9" w14:textId="77777777" w:rsidR="00F514B7" w:rsidRPr="0025560A" w:rsidRDefault="00F514B7" w:rsidP="008B290E">
            <w:pPr>
              <w:spacing w:after="0" w:line="259" w:lineRule="auto"/>
              <w:ind w:left="163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CÂMARA DE VEREADORES DO MUNICÍPIO</w:t>
            </w:r>
          </w:p>
          <w:p w14:paraId="17F970A7" w14:textId="77777777" w:rsidR="00F514B7" w:rsidRPr="0025560A" w:rsidRDefault="00F514B7" w:rsidP="008B290E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DE CHUPINGUAIA</w:t>
            </w:r>
          </w:p>
          <w:p w14:paraId="576382F2" w14:textId="77777777" w:rsidR="00F514B7" w:rsidRPr="0025560A" w:rsidRDefault="00F514B7" w:rsidP="008B290E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PAUTA DA IMPRENSA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544F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7E61EBC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235E971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25560A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9</w:t>
            </w:r>
            <w:r w:rsidRPr="0025560A">
              <w:rPr>
                <w:sz w:val="24"/>
                <w:szCs w:val="24"/>
              </w:rPr>
              <w:t>/2025</w:t>
            </w:r>
          </w:p>
        </w:tc>
      </w:tr>
      <w:tr w:rsidR="00F514B7" w:rsidRPr="0025560A" w14:paraId="3A87080C" w14:textId="77777777" w:rsidTr="008B290E">
        <w:trPr>
          <w:trHeight w:val="8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74A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PROJETO DE LEI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E8FC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</w:t>
            </w:r>
          </w:p>
          <w:p w14:paraId="3F9DE2FD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                   ASSUNTO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DCC7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</w:t>
            </w:r>
          </w:p>
          <w:p w14:paraId="2637821B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AUTORIA</w:t>
            </w:r>
          </w:p>
        </w:tc>
      </w:tr>
      <w:tr w:rsidR="00F514B7" w:rsidRPr="0025560A" w14:paraId="3CA8FE24" w14:textId="77777777" w:rsidTr="008B290E">
        <w:trPr>
          <w:trHeight w:val="103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7DB6" w14:textId="77777777" w:rsidR="00F514B7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67FA8A7" w14:textId="77777777" w:rsidR="00F514B7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2.92</w:t>
            </w:r>
            <w:r>
              <w:rPr>
                <w:sz w:val="24"/>
                <w:szCs w:val="24"/>
              </w:rPr>
              <w:t>9</w:t>
            </w:r>
            <w:r w:rsidRPr="0025560A">
              <w:rPr>
                <w:sz w:val="24"/>
                <w:szCs w:val="24"/>
              </w:rPr>
              <w:t>/2025</w:t>
            </w:r>
          </w:p>
          <w:p w14:paraId="5A75D9F8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EDFC" w14:textId="77777777" w:rsidR="00F514B7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AB1D627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“</w:t>
            </w:r>
            <w:r w:rsidRPr="00DB21C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ispõe sobre a concessão de subvenção social ao lar dos idosos MARIA TEREZA DA LAMARTA</w:t>
            </w:r>
            <w:r>
              <w:t>.</w:t>
            </w:r>
            <w:r w:rsidRPr="0025560A">
              <w:rPr>
                <w:sz w:val="24"/>
                <w:szCs w:val="24"/>
              </w:rPr>
              <w:t>”</w:t>
            </w:r>
          </w:p>
          <w:p w14:paraId="73718EE0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191D" w14:textId="77777777" w:rsidR="00F514B7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E67638C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Poder Executivo</w:t>
            </w:r>
          </w:p>
          <w:p w14:paraId="6F62CEEB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F514B7" w:rsidRPr="0025560A" w14:paraId="44831564" w14:textId="77777777" w:rsidTr="008B290E">
        <w:trPr>
          <w:trHeight w:val="97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6CCA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89C66B1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2.9</w:t>
            </w:r>
            <w:r>
              <w:rPr>
                <w:sz w:val="24"/>
                <w:szCs w:val="24"/>
              </w:rPr>
              <w:t>30</w:t>
            </w:r>
            <w:r w:rsidRPr="0025560A">
              <w:rPr>
                <w:sz w:val="24"/>
                <w:szCs w:val="24"/>
              </w:rPr>
              <w:t>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3797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C8D8AE7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Altera o art. 2° da Lei Municipal nº 2.727 de 17 de julho de 2025</w:t>
            </w:r>
            <w:r w:rsidRPr="0025560A">
              <w:rPr>
                <w:sz w:val="24"/>
                <w:szCs w:val="24"/>
              </w:rPr>
              <w:t>.”</w:t>
            </w:r>
          </w:p>
          <w:p w14:paraId="7D167AE2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E39C" w14:textId="77777777" w:rsidR="00B74BB1" w:rsidRDefault="00B74BB1" w:rsidP="00B74B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BE51923" w14:textId="712A29B4" w:rsidR="00B74BB1" w:rsidRPr="0025560A" w:rsidRDefault="00B74BB1" w:rsidP="00B74B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Poder Executivo</w:t>
            </w:r>
          </w:p>
          <w:p w14:paraId="62752E6E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F514B7" w:rsidRPr="0025560A" w14:paraId="334BB5C0" w14:textId="77777777" w:rsidTr="008B290E">
        <w:trPr>
          <w:trHeight w:val="97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7897" w14:textId="77777777" w:rsidR="00F514B7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2971BD6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2.9</w:t>
            </w:r>
            <w:r>
              <w:rPr>
                <w:sz w:val="24"/>
                <w:szCs w:val="24"/>
              </w:rPr>
              <w:t>31</w:t>
            </w:r>
            <w:r w:rsidRPr="0025560A">
              <w:rPr>
                <w:sz w:val="24"/>
                <w:szCs w:val="24"/>
              </w:rPr>
              <w:t>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B8A3" w14:textId="77777777" w:rsidR="00F514B7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319EFB2A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Autoriza o Poder Executivo a contratar operação de crédito com o BANCO DO BRASIL S.A., com a garantia da União e dá outras providências</w:t>
            </w:r>
            <w:r w:rsidRPr="0025560A">
              <w:rPr>
                <w:sz w:val="24"/>
                <w:szCs w:val="24"/>
              </w:rPr>
              <w:t>.”</w:t>
            </w:r>
          </w:p>
          <w:p w14:paraId="3B164BB5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00B6" w14:textId="77777777" w:rsidR="00B74BB1" w:rsidRDefault="00B74BB1" w:rsidP="00B74B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F022934" w14:textId="79BED65F" w:rsidR="00B74BB1" w:rsidRPr="0025560A" w:rsidRDefault="00B74BB1" w:rsidP="00B74B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Poder Executivo</w:t>
            </w:r>
          </w:p>
          <w:p w14:paraId="6163233D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F514B7" w:rsidRPr="0025560A" w14:paraId="613E9F01" w14:textId="77777777" w:rsidTr="008B290E">
        <w:trPr>
          <w:trHeight w:val="97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5160" w14:textId="77777777" w:rsidR="00F514B7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AA6CCC7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2.9</w:t>
            </w:r>
            <w:r>
              <w:rPr>
                <w:sz w:val="24"/>
                <w:szCs w:val="24"/>
              </w:rPr>
              <w:t>32</w:t>
            </w:r>
            <w:r w:rsidRPr="0025560A">
              <w:rPr>
                <w:sz w:val="24"/>
                <w:szCs w:val="24"/>
              </w:rPr>
              <w:t>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E6B4" w14:textId="77777777" w:rsidR="00F514B7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9415D42" w14:textId="0F14F158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Dispõe sobre a concessão da subvenção social a associação beneficente São Camilo</w:t>
            </w:r>
            <w:r w:rsidRPr="0025560A">
              <w:rPr>
                <w:sz w:val="24"/>
                <w:szCs w:val="24"/>
              </w:rPr>
              <w:t>.”</w:t>
            </w:r>
          </w:p>
          <w:p w14:paraId="3BA38CF6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78AE" w14:textId="77777777" w:rsidR="00B74BB1" w:rsidRDefault="00B74BB1" w:rsidP="00B74B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0F3B9C3" w14:textId="24AF05E2" w:rsidR="00B74BB1" w:rsidRPr="0025560A" w:rsidRDefault="00B74BB1" w:rsidP="00B74BB1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Poder Executivo</w:t>
            </w:r>
          </w:p>
          <w:p w14:paraId="0C6386FF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F514B7" w:rsidRPr="0025560A" w14:paraId="650D8149" w14:textId="77777777" w:rsidTr="008B290E">
        <w:trPr>
          <w:trHeight w:val="8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D64F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6387296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>INDICAÇÃO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AED3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              </w:t>
            </w:r>
          </w:p>
          <w:p w14:paraId="5F8F8F52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                       ASSUNTO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1F3F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                       AUTORIA</w:t>
            </w:r>
          </w:p>
        </w:tc>
      </w:tr>
      <w:tr w:rsidR="00F514B7" w:rsidRPr="0025560A" w14:paraId="396219F0" w14:textId="77777777" w:rsidTr="008B290E">
        <w:trPr>
          <w:trHeight w:val="8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BFB6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D387C11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AFC4E93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</w:t>
            </w:r>
            <w:r w:rsidRPr="0025560A">
              <w:rPr>
                <w:sz w:val="24"/>
                <w:szCs w:val="24"/>
              </w:rPr>
              <w:t>/2025</w:t>
            </w:r>
          </w:p>
          <w:p w14:paraId="4C5F324C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5FBA" w14:textId="77777777" w:rsidR="00F514B7" w:rsidRDefault="00F514B7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177A65C6" w14:textId="7E437725" w:rsidR="00F514B7" w:rsidRPr="0025560A" w:rsidRDefault="00F514B7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Indica – a Vossa Excelência a necessidade da compra de um terreno da propriedade do </w:t>
            </w:r>
            <w:proofErr w:type="spellStart"/>
            <w:r>
              <w:rPr>
                <w:sz w:val="24"/>
                <w:szCs w:val="24"/>
              </w:rPr>
              <w:t>Sr</w:t>
            </w:r>
            <w:proofErr w:type="spellEnd"/>
            <w:r>
              <w:rPr>
                <w:sz w:val="24"/>
                <w:szCs w:val="24"/>
              </w:rPr>
              <w:t>,</w:t>
            </w:r>
            <w:r w:rsidR="00921F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David Servalo, no Distrito de Boa Esperança, Município de Chupinguaia, terreno este que possui poço artesiano com água potável, para atender de forma adequada a população local.</w:t>
            </w:r>
          </w:p>
          <w:p w14:paraId="4D9F1281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B3D4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C20CB79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612A934F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Ver: </w:t>
            </w:r>
            <w:r>
              <w:rPr>
                <w:sz w:val="24"/>
                <w:szCs w:val="24"/>
              </w:rPr>
              <w:t>Eder</w:t>
            </w:r>
          </w:p>
        </w:tc>
      </w:tr>
      <w:tr w:rsidR="00F514B7" w:rsidRPr="0025560A" w14:paraId="6B3CF82B" w14:textId="77777777" w:rsidTr="008B290E">
        <w:trPr>
          <w:trHeight w:val="8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1CB0" w14:textId="77777777" w:rsidR="00F514B7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411C82A" w14:textId="77777777" w:rsidR="00E95449" w:rsidRDefault="00E95449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14311C7" w14:textId="4A45D539" w:rsidR="00E95449" w:rsidRPr="0025560A" w:rsidRDefault="00E95449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077</w:t>
            </w:r>
            <w:r w:rsidRPr="0025560A">
              <w:rPr>
                <w:sz w:val="24"/>
                <w:szCs w:val="24"/>
              </w:rPr>
              <w:t>/2025</w:t>
            </w:r>
          </w:p>
          <w:p w14:paraId="0389D6AC" w14:textId="77777777" w:rsidR="00E95449" w:rsidRPr="0025560A" w:rsidRDefault="00E95449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790B" w14:textId="77777777" w:rsidR="00E95449" w:rsidRDefault="00E95449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223BA1DB" w14:textId="0DF55E8B" w:rsidR="00F514B7" w:rsidRDefault="00E95449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E95449">
              <w:rPr>
                <w:sz w:val="24"/>
                <w:szCs w:val="24"/>
              </w:rPr>
              <w:t>Indica-se ao Executivo que seja implantado sentido único de circulação de veículos:  Na Rua Dezoito, em frente à Escola Municipal Juliana e Aline dos Santos Marcos.</w:t>
            </w:r>
          </w:p>
          <w:p w14:paraId="59FD26BA" w14:textId="57BF4EA8" w:rsidR="00E95449" w:rsidRDefault="00E95449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6F27" w14:textId="77777777" w:rsidR="00E95449" w:rsidRDefault="00E95449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B7544D5" w14:textId="77777777" w:rsidR="00E95449" w:rsidRDefault="00E95449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FC387C8" w14:textId="06012057" w:rsidR="00F514B7" w:rsidRPr="0025560A" w:rsidRDefault="00E95449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Ver: </w:t>
            </w:r>
            <w:proofErr w:type="spellStart"/>
            <w:r>
              <w:rPr>
                <w:sz w:val="24"/>
                <w:szCs w:val="24"/>
              </w:rPr>
              <w:t>Denilson</w:t>
            </w:r>
            <w:proofErr w:type="spellEnd"/>
          </w:p>
        </w:tc>
      </w:tr>
      <w:tr w:rsidR="00F514B7" w:rsidRPr="0025560A" w14:paraId="15BB8F87" w14:textId="77777777" w:rsidTr="008B290E">
        <w:trPr>
          <w:trHeight w:val="8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8F2F" w14:textId="77777777" w:rsidR="00E95449" w:rsidRDefault="00E95449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4C9064B8" w14:textId="20EAB305" w:rsidR="00E95449" w:rsidRPr="0025560A" w:rsidRDefault="00E95449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078</w:t>
            </w:r>
            <w:r w:rsidRPr="0025560A">
              <w:rPr>
                <w:sz w:val="24"/>
                <w:szCs w:val="24"/>
              </w:rPr>
              <w:t>/2025</w:t>
            </w:r>
          </w:p>
          <w:p w14:paraId="1D0974C5" w14:textId="77777777" w:rsidR="00F514B7" w:rsidRPr="0025560A" w:rsidRDefault="00F514B7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8144" w14:textId="77777777" w:rsidR="00DA5C1A" w:rsidRDefault="00DA5C1A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  <w:p w14:paraId="13B19ECF" w14:textId="77777777" w:rsidR="00DA5C1A" w:rsidRDefault="00DA5C1A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A5C1A">
              <w:rPr>
                <w:sz w:val="24"/>
                <w:szCs w:val="24"/>
              </w:rPr>
              <w:t xml:space="preserve">Indica-se ao Executivo a realização de limpeza em </w:t>
            </w:r>
          </w:p>
          <w:p w14:paraId="748229B7" w14:textId="77777777" w:rsidR="00F514B7" w:rsidRDefault="00DA5C1A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DA5C1A">
              <w:rPr>
                <w:sz w:val="24"/>
                <w:szCs w:val="24"/>
              </w:rPr>
              <w:t>terrenos pertencentes ao Município de Chupinguaia.</w:t>
            </w:r>
          </w:p>
          <w:p w14:paraId="0ED179D1" w14:textId="2026293E" w:rsidR="00DA5C1A" w:rsidRPr="00DA5C1A" w:rsidRDefault="00DA5C1A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209F" w14:textId="77777777" w:rsidR="00E95449" w:rsidRDefault="00E95449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53B0F02" w14:textId="466E959A" w:rsidR="00F514B7" w:rsidRPr="0025560A" w:rsidRDefault="00E95449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5560A">
              <w:rPr>
                <w:sz w:val="24"/>
                <w:szCs w:val="24"/>
              </w:rPr>
              <w:t xml:space="preserve">Ver: </w:t>
            </w:r>
            <w:proofErr w:type="spellStart"/>
            <w:r>
              <w:rPr>
                <w:sz w:val="24"/>
                <w:szCs w:val="24"/>
              </w:rPr>
              <w:t>Denilson</w:t>
            </w:r>
            <w:proofErr w:type="spellEnd"/>
          </w:p>
        </w:tc>
      </w:tr>
      <w:tr w:rsidR="008B290E" w:rsidRPr="0025560A" w14:paraId="0E88EE94" w14:textId="77777777" w:rsidTr="008B290E">
        <w:trPr>
          <w:trHeight w:val="8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9858" w14:textId="77777777" w:rsidR="008B290E" w:rsidRDefault="008B290E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7D5853CD" w14:textId="77777777" w:rsidR="006003D6" w:rsidRPr="0025560A" w:rsidRDefault="006003D6" w:rsidP="006003D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078</w:t>
            </w:r>
            <w:r w:rsidRPr="0025560A">
              <w:rPr>
                <w:sz w:val="24"/>
                <w:szCs w:val="24"/>
              </w:rPr>
              <w:t>/2025</w:t>
            </w:r>
          </w:p>
          <w:p w14:paraId="6B26ECC2" w14:textId="77777777" w:rsidR="008B290E" w:rsidRDefault="008B290E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AE3C" w14:textId="5CFDE9E2" w:rsidR="008B290E" w:rsidRDefault="00B74BB1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 -se que seja realizado o calçamento no distrito do Corgão.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2882" w14:textId="77777777" w:rsidR="00B74BB1" w:rsidRDefault="00B74BB1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250A1308" w14:textId="298E326C" w:rsidR="008B290E" w:rsidRDefault="00B74BB1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Ver: </w:t>
            </w:r>
            <w:proofErr w:type="spellStart"/>
            <w:r>
              <w:rPr>
                <w:sz w:val="24"/>
                <w:szCs w:val="24"/>
              </w:rPr>
              <w:t>Gardell</w:t>
            </w:r>
            <w:proofErr w:type="spellEnd"/>
          </w:p>
        </w:tc>
      </w:tr>
      <w:tr w:rsidR="006003D6" w:rsidRPr="0025560A" w14:paraId="41337AE4" w14:textId="77777777" w:rsidTr="008B290E">
        <w:trPr>
          <w:trHeight w:val="84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4D2F" w14:textId="77777777" w:rsidR="006003D6" w:rsidRDefault="006003D6" w:rsidP="006003D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24E598B" w14:textId="0659B3D2" w:rsidR="006003D6" w:rsidRDefault="006003D6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</w:t>
            </w:r>
            <w:r w:rsidRPr="0025560A">
              <w:rPr>
                <w:sz w:val="24"/>
                <w:szCs w:val="24"/>
              </w:rPr>
              <w:t>/2025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F758" w14:textId="7D3EB8A1" w:rsidR="006003D6" w:rsidRDefault="00B74BB1" w:rsidP="008B290E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Indica -se que seja feita a troca de luminárias no distrito do </w:t>
            </w:r>
            <w:r w:rsidR="00921F6A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orgão por lâmpadas </w:t>
            </w:r>
            <w:r w:rsidR="00921F6A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ed</w:t>
            </w:r>
            <w:r w:rsidR="00921F6A">
              <w:rPr>
                <w:sz w:val="24"/>
                <w:szCs w:val="24"/>
              </w:rPr>
              <w:t>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5B36" w14:textId="77777777" w:rsidR="00B74BB1" w:rsidRDefault="00B74BB1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1296E09C" w14:textId="2BEBE3D0" w:rsidR="006003D6" w:rsidRDefault="00B74BB1" w:rsidP="008B290E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Ver: Gardel</w:t>
            </w:r>
          </w:p>
        </w:tc>
      </w:tr>
    </w:tbl>
    <w:p w14:paraId="0745EBDF" w14:textId="22A314E8" w:rsidR="00DB21C8" w:rsidRDefault="00DB21C8" w:rsidP="00DA5C1A">
      <w:pPr>
        <w:spacing w:after="0" w:line="259" w:lineRule="auto"/>
        <w:ind w:left="0" w:right="215" w:firstLine="0"/>
        <w:jc w:val="left"/>
      </w:pPr>
    </w:p>
    <w:sectPr w:rsidR="00DB21C8" w:rsidSect="00B86555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C8"/>
    <w:rsid w:val="004E263D"/>
    <w:rsid w:val="006003D6"/>
    <w:rsid w:val="00620330"/>
    <w:rsid w:val="00633583"/>
    <w:rsid w:val="006356E9"/>
    <w:rsid w:val="007808EE"/>
    <w:rsid w:val="007F7862"/>
    <w:rsid w:val="008B290E"/>
    <w:rsid w:val="008F1488"/>
    <w:rsid w:val="00921F6A"/>
    <w:rsid w:val="009E3DE4"/>
    <w:rsid w:val="00A2313A"/>
    <w:rsid w:val="00A81911"/>
    <w:rsid w:val="00AD72A5"/>
    <w:rsid w:val="00B745DD"/>
    <w:rsid w:val="00B74BB1"/>
    <w:rsid w:val="00B86555"/>
    <w:rsid w:val="00BE1325"/>
    <w:rsid w:val="00C4419D"/>
    <w:rsid w:val="00D46F11"/>
    <w:rsid w:val="00DA5C1A"/>
    <w:rsid w:val="00DB21C8"/>
    <w:rsid w:val="00E95449"/>
    <w:rsid w:val="00F514B7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5CD3"/>
  <w15:chartTrackingRefBased/>
  <w15:docId w15:val="{46E93E57-6DD0-42A4-B5A3-8035A999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C8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21C8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21C8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21C8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21C8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21C8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21C8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21C8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21C8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21C8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2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2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2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2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2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2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2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2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2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21C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B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21C8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B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21C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B2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21C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DB2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2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2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21C8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B21C8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2</cp:revision>
  <dcterms:created xsi:type="dcterms:W3CDTF">2025-09-08T16:41:00Z</dcterms:created>
  <dcterms:modified xsi:type="dcterms:W3CDTF">2025-09-08T16:41:00Z</dcterms:modified>
</cp:coreProperties>
</file>